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9956F57">
      <w:pPr>
        <w:pStyle w:val="9"/>
        <w:widowControl/>
        <w:snapToGrid w:val="0"/>
        <w:spacing w:before="0" w:beforeAutospacing="0" w:after="0" w:afterAutospacing="0"/>
        <w:ind w:firstLine="0" w:firstLineChars="0"/>
        <w:jc w:val="center"/>
        <w:rPr>
          <w:rFonts w:ascii="方正小标宋简体" w:hAnsi="宋体" w:eastAsia="方正小标宋简体"/>
          <w:color w:val="000000" w:themeColor="text1"/>
          <w:sz w:val="44"/>
          <w:szCs w:val="32"/>
          <w14:textFill>
            <w14:solidFill>
              <w14:schemeClr w14:val="tx1"/>
            </w14:solidFill>
          </w14:textFill>
        </w:rPr>
      </w:pPr>
      <w:r>
        <w:rPr>
          <w:rFonts w:hint="eastAsia" w:ascii="方正小标宋简体" w:hAnsi="宋体" w:eastAsia="方正小标宋简体"/>
          <w:color w:val="000000" w:themeColor="text1"/>
          <w:sz w:val="44"/>
          <w:szCs w:val="32"/>
          <w14:textFill>
            <w14:solidFill>
              <w14:schemeClr w14:val="tx1"/>
            </w14:solidFill>
          </w14:textFill>
        </w:rPr>
        <w:t>团体标准《水稻原位浆泥智能播种育秧技术</w:t>
      </w:r>
    </w:p>
    <w:p w14:paraId="0351341F">
      <w:pPr>
        <w:pStyle w:val="9"/>
        <w:widowControl/>
        <w:snapToGrid w:val="0"/>
        <w:spacing w:before="0" w:beforeAutospacing="0" w:after="0" w:afterAutospacing="0"/>
        <w:ind w:firstLine="0" w:firstLineChars="0"/>
        <w:jc w:val="center"/>
        <w:rPr>
          <w:rFonts w:ascii="方正小标宋简体" w:hAnsi="宋体" w:eastAsia="方正小标宋简体"/>
          <w:color w:val="000000" w:themeColor="text1"/>
          <w:sz w:val="44"/>
          <w:szCs w:val="32"/>
          <w14:textFill>
            <w14:solidFill>
              <w14:schemeClr w14:val="tx1"/>
            </w14:solidFill>
          </w14:textFill>
        </w:rPr>
      </w:pPr>
      <w:r>
        <w:rPr>
          <w:rFonts w:hint="eastAsia" w:ascii="方正小标宋简体" w:hAnsi="宋体" w:eastAsia="方正小标宋简体"/>
          <w:color w:val="000000" w:themeColor="text1"/>
          <w:sz w:val="44"/>
          <w:szCs w:val="32"/>
          <w14:textFill>
            <w14:solidFill>
              <w14:schemeClr w14:val="tx1"/>
            </w14:solidFill>
          </w14:textFill>
        </w:rPr>
        <w:t>规程》（征求意见稿）编制说明</w:t>
      </w:r>
    </w:p>
    <w:p w14:paraId="119B558F">
      <w:pPr>
        <w:autoSpaceDE w:val="0"/>
        <w:autoSpaceDN w:val="0"/>
        <w:adjustRightInd w:val="0"/>
        <w:spacing w:line="560" w:lineRule="exact"/>
        <w:ind w:firstLine="640"/>
        <w:jc w:val="left"/>
        <w:rPr>
          <w:rFonts w:ascii="黑体" w:hAnsi="黑体" w:eastAsia="黑体" w:cs="仿宋_GB2312"/>
          <w:color w:val="000000" w:themeColor="text1"/>
          <w:szCs w:val="32"/>
          <w14:textFill>
            <w14:solidFill>
              <w14:schemeClr w14:val="tx1"/>
            </w14:solidFill>
          </w14:textFill>
        </w:rPr>
      </w:pPr>
    </w:p>
    <w:p w14:paraId="392C68FA">
      <w:pPr>
        <w:autoSpaceDE w:val="0"/>
        <w:autoSpaceDN w:val="0"/>
        <w:adjustRightInd w:val="0"/>
        <w:spacing w:line="560" w:lineRule="exact"/>
        <w:ind w:firstLine="640"/>
        <w:jc w:val="left"/>
        <w:rPr>
          <w:rFonts w:ascii="黑体" w:hAnsi="黑体" w:eastAsia="黑体" w:cs="仿宋_GB2312"/>
          <w:color w:val="000000" w:themeColor="text1"/>
          <w:szCs w:val="32"/>
          <w14:textFill>
            <w14:solidFill>
              <w14:schemeClr w14:val="tx1"/>
            </w14:solidFill>
          </w14:textFill>
        </w:rPr>
      </w:pPr>
      <w:r>
        <w:rPr>
          <w:rFonts w:hint="eastAsia" w:ascii="黑体" w:hAnsi="黑体" w:eastAsia="黑体" w:cs="仿宋_GB2312"/>
          <w:color w:val="000000" w:themeColor="text1"/>
          <w:szCs w:val="32"/>
          <w14:textFill>
            <w14:solidFill>
              <w14:schemeClr w14:val="tx1"/>
            </w14:solidFill>
          </w14:textFill>
        </w:rPr>
        <w:t>一、任务来源、起草单位、主要起草人</w:t>
      </w:r>
    </w:p>
    <w:p w14:paraId="19946FEF">
      <w:pPr>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根据《广西标准化协会关于下达2026年第四批团体标准制修订项目计划的通知》（桂标协〔2026〕52号）文件精神，由广西大学提出，广西大学、广西玉林市树锋农业机械科技有限公司、广西标准化协会、广西作物学会、玉林市农业科学院、华南农业大学、广西农业科学院水稻研究所、广西农业职业技术大学、百色学院、贺州学院、广西壮族自治区中国科学院广西植物研究所、北流市大里镇新红水稻种植专业合作社、横县裕丰水稻种植家庭农场、广西香米种业有限公司等</w:t>
      </w:r>
      <w:r>
        <w:rPr>
          <w:rFonts w:ascii="仿宋_GB2312" w:hAnsi="宋体"/>
          <w:color w:val="000000" w:themeColor="text1"/>
          <w:szCs w:val="28"/>
          <w14:textFill>
            <w14:solidFill>
              <w14:schemeClr w14:val="tx1"/>
            </w14:solidFill>
          </w14:textFill>
        </w:rPr>
        <w:t>单位</w:t>
      </w:r>
      <w:r>
        <w:rPr>
          <w:rFonts w:hint="eastAsia" w:ascii="仿宋_GB2312" w:hAnsi="宋体"/>
          <w:color w:val="000000" w:themeColor="text1"/>
          <w:szCs w:val="28"/>
          <w14:textFill>
            <w14:solidFill>
              <w14:schemeClr w14:val="tx1"/>
            </w14:solidFill>
          </w14:textFill>
        </w:rPr>
        <w:t>共同起草的团体标准《水稻原位浆泥智能播种育秧技术规程》（项目编号：2026-0405）已获批立项。</w:t>
      </w:r>
    </w:p>
    <w:p w14:paraId="3C029FBE">
      <w:pPr>
        <w:ind w:firstLine="640"/>
        <w:rPr>
          <w:rFonts w:hint="eastAsia"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为高质量编制团体标准《水稻原位浆泥智能播种育秧技术规程》，由起草单位成立标准编制工作组并进行如下分工：</w:t>
      </w:r>
    </w:p>
    <w:tbl>
      <w:tblPr>
        <w:tblStyle w:val="10"/>
        <w:tblW w:w="4996" w:type="pct"/>
        <w:tblInd w:w="0" w:type="dxa"/>
        <w:tblLayout w:type="autofit"/>
        <w:tblCellMar>
          <w:top w:w="0" w:type="dxa"/>
          <w:left w:w="108" w:type="dxa"/>
          <w:bottom w:w="0" w:type="dxa"/>
          <w:right w:w="108" w:type="dxa"/>
        </w:tblCellMar>
      </w:tblPr>
      <w:tblGrid>
        <w:gridCol w:w="983"/>
        <w:gridCol w:w="1586"/>
        <w:gridCol w:w="1835"/>
        <w:gridCol w:w="1835"/>
        <w:gridCol w:w="2928"/>
      </w:tblGrid>
      <w:tr w14:paraId="33C71E28">
        <w:tblPrEx>
          <w:tblCellMar>
            <w:top w:w="0" w:type="dxa"/>
            <w:left w:w="108" w:type="dxa"/>
            <w:bottom w:w="0" w:type="dxa"/>
            <w:right w:w="108" w:type="dxa"/>
          </w:tblCellMar>
        </w:tblPrEx>
        <w:trPr>
          <w:cantSplit/>
          <w:trHeight w:val="578" w:hRule="atLeast"/>
          <w:tblHeader/>
        </w:trPr>
        <w:tc>
          <w:tcPr>
            <w:tcW w:w="536" w:type="pct"/>
            <w:tcBorders>
              <w:top w:val="single" w:color="auto" w:sz="4" w:space="0"/>
              <w:left w:val="single" w:color="auto" w:sz="4" w:space="0"/>
              <w:bottom w:val="single" w:color="auto" w:sz="4" w:space="0"/>
              <w:right w:val="single" w:color="auto" w:sz="4" w:space="0"/>
            </w:tcBorders>
            <w:noWrap w:val="0"/>
            <w:vAlign w:val="center"/>
          </w:tcPr>
          <w:p w14:paraId="704980B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b/>
                <w:bCs/>
                <w:color w:val="000000"/>
                <w:sz w:val="24"/>
                <w:highlight w:val="none"/>
              </w:rPr>
            </w:pPr>
            <w:r>
              <w:rPr>
                <w:rFonts w:hint="eastAsia" w:ascii="仿宋_GB2312" w:hAnsi="仿宋_GB2312" w:eastAsia="仿宋_GB2312" w:cs="仿宋_GB2312"/>
                <w:b/>
                <w:bCs/>
                <w:color w:val="000000"/>
                <w:sz w:val="24"/>
                <w:highlight w:val="none"/>
              </w:rPr>
              <w:t>姓 名</w:t>
            </w:r>
          </w:p>
        </w:tc>
        <w:tc>
          <w:tcPr>
            <w:tcW w:w="865" w:type="pct"/>
            <w:tcBorders>
              <w:top w:val="single" w:color="auto" w:sz="4" w:space="0"/>
              <w:left w:val="single" w:color="auto" w:sz="4" w:space="0"/>
              <w:bottom w:val="single" w:color="auto" w:sz="4" w:space="0"/>
              <w:right w:val="single" w:color="auto" w:sz="4" w:space="0"/>
            </w:tcBorders>
            <w:noWrap w:val="0"/>
            <w:vAlign w:val="center"/>
          </w:tcPr>
          <w:p w14:paraId="4F668F2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b/>
                <w:bCs/>
                <w:color w:val="000000"/>
                <w:sz w:val="24"/>
                <w:highlight w:val="none"/>
              </w:rPr>
            </w:pPr>
            <w:r>
              <w:rPr>
                <w:rFonts w:hint="eastAsia" w:ascii="仿宋_GB2312" w:hAnsi="仿宋_GB2312" w:eastAsia="仿宋_GB2312" w:cs="仿宋_GB2312"/>
                <w:b/>
                <w:bCs/>
                <w:color w:val="000000"/>
                <w:sz w:val="24"/>
                <w:highlight w:val="none"/>
              </w:rPr>
              <w:t>职务/职称</w:t>
            </w:r>
          </w:p>
        </w:tc>
        <w:tc>
          <w:tcPr>
            <w:tcW w:w="1001" w:type="pct"/>
            <w:tcBorders>
              <w:top w:val="single" w:color="auto" w:sz="4" w:space="0"/>
              <w:left w:val="single" w:color="auto" w:sz="4" w:space="0"/>
              <w:bottom w:val="single" w:color="auto" w:sz="4" w:space="0"/>
              <w:right w:val="single" w:color="auto" w:sz="4" w:space="0"/>
            </w:tcBorders>
            <w:noWrap w:val="0"/>
            <w:vAlign w:val="center"/>
          </w:tcPr>
          <w:p w14:paraId="7B5FC67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b/>
                <w:bCs/>
                <w:color w:val="000000"/>
                <w:sz w:val="24"/>
                <w:highlight w:val="none"/>
              </w:rPr>
            </w:pPr>
            <w:r>
              <w:rPr>
                <w:rFonts w:hint="eastAsia" w:ascii="仿宋_GB2312" w:hAnsi="仿宋_GB2312" w:eastAsia="仿宋_GB2312" w:cs="仿宋_GB2312"/>
                <w:b/>
                <w:bCs/>
                <w:color w:val="000000"/>
                <w:sz w:val="24"/>
                <w:highlight w:val="none"/>
              </w:rPr>
              <w:t>从事专业</w:t>
            </w:r>
          </w:p>
        </w:tc>
        <w:tc>
          <w:tcPr>
            <w:tcW w:w="1001" w:type="pct"/>
            <w:tcBorders>
              <w:top w:val="single" w:color="auto" w:sz="4" w:space="0"/>
              <w:left w:val="single" w:color="auto" w:sz="4" w:space="0"/>
              <w:bottom w:val="single" w:color="auto" w:sz="4" w:space="0"/>
              <w:right w:val="single" w:color="auto" w:sz="4" w:space="0"/>
            </w:tcBorders>
            <w:noWrap w:val="0"/>
            <w:vAlign w:val="center"/>
          </w:tcPr>
          <w:p w14:paraId="43BCA93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b/>
                <w:bCs/>
                <w:color w:val="000000"/>
                <w:sz w:val="24"/>
                <w:highlight w:val="none"/>
              </w:rPr>
            </w:pPr>
            <w:r>
              <w:rPr>
                <w:rFonts w:hint="eastAsia" w:ascii="仿宋_GB2312" w:hAnsi="仿宋_GB2312" w:eastAsia="仿宋_GB2312" w:cs="仿宋_GB2312"/>
                <w:b/>
                <w:bCs/>
                <w:color w:val="000000"/>
                <w:sz w:val="24"/>
                <w:highlight w:val="none"/>
              </w:rPr>
              <w:t>工作单位</w:t>
            </w:r>
          </w:p>
        </w:tc>
        <w:tc>
          <w:tcPr>
            <w:tcW w:w="1597" w:type="pct"/>
            <w:tcBorders>
              <w:top w:val="single" w:color="auto" w:sz="4" w:space="0"/>
              <w:left w:val="single" w:color="auto" w:sz="4" w:space="0"/>
              <w:bottom w:val="single" w:color="auto" w:sz="4" w:space="0"/>
              <w:right w:val="single" w:color="auto" w:sz="4" w:space="0"/>
            </w:tcBorders>
            <w:noWrap w:val="0"/>
            <w:vAlign w:val="center"/>
          </w:tcPr>
          <w:p w14:paraId="306BCC4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b/>
                <w:bCs/>
                <w:color w:val="000000"/>
                <w:sz w:val="24"/>
                <w:highlight w:val="none"/>
              </w:rPr>
            </w:pPr>
            <w:r>
              <w:rPr>
                <w:rFonts w:hint="eastAsia" w:ascii="仿宋_GB2312" w:hAnsi="仿宋_GB2312" w:eastAsia="仿宋_GB2312" w:cs="仿宋_GB2312"/>
                <w:b/>
                <w:bCs/>
                <w:color w:val="000000"/>
                <w:sz w:val="24"/>
                <w:highlight w:val="none"/>
              </w:rPr>
              <w:t>主要负责工作</w:t>
            </w:r>
          </w:p>
        </w:tc>
      </w:tr>
      <w:tr w14:paraId="306B4EDA">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0BEECB23">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黄家达</w:t>
            </w:r>
          </w:p>
        </w:tc>
        <w:tc>
          <w:tcPr>
            <w:tcW w:w="865" w:type="pct"/>
            <w:tcBorders>
              <w:top w:val="single" w:color="000000" w:sz="2" w:space="0"/>
              <w:left w:val="single" w:color="auto" w:sz="4" w:space="0"/>
              <w:bottom w:val="single" w:color="auto" w:sz="4" w:space="0"/>
              <w:right w:val="single" w:color="auto" w:sz="4" w:space="0"/>
            </w:tcBorders>
            <w:noWrap w:val="0"/>
            <w:vAlign w:val="center"/>
          </w:tcPr>
          <w:p w14:paraId="5B5E1ED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助理教授</w:t>
            </w:r>
          </w:p>
        </w:tc>
        <w:tc>
          <w:tcPr>
            <w:tcW w:w="1001" w:type="pct"/>
            <w:tcBorders>
              <w:top w:val="single" w:color="000000" w:sz="2" w:space="0"/>
              <w:left w:val="single" w:color="auto" w:sz="4" w:space="0"/>
              <w:bottom w:val="single" w:color="auto" w:sz="4" w:space="0"/>
              <w:right w:val="single" w:color="auto" w:sz="4" w:space="0"/>
            </w:tcBorders>
            <w:noWrap w:val="0"/>
            <w:vAlign w:val="center"/>
          </w:tcPr>
          <w:p w14:paraId="0CD1472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作物栽培学与耕作学</w:t>
            </w:r>
          </w:p>
        </w:tc>
        <w:tc>
          <w:tcPr>
            <w:tcW w:w="1001" w:type="pct"/>
            <w:tcBorders>
              <w:top w:val="single" w:color="000000" w:sz="2" w:space="0"/>
              <w:left w:val="single" w:color="auto" w:sz="4" w:space="0"/>
              <w:bottom w:val="single" w:color="auto" w:sz="4" w:space="0"/>
              <w:right w:val="single" w:color="auto" w:sz="4" w:space="0"/>
            </w:tcBorders>
            <w:noWrap w:val="0"/>
            <w:vAlign w:val="center"/>
          </w:tcPr>
          <w:p w14:paraId="549BA45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广西</w:t>
            </w:r>
            <w:bookmarkStart w:id="3" w:name="_GoBack"/>
            <w:bookmarkEnd w:id="3"/>
            <w:r>
              <w:rPr>
                <w:rFonts w:hint="eastAsia" w:ascii="仿宋_GB2312" w:hAnsi="仿宋_GB2312" w:eastAsia="仿宋_GB2312" w:cs="仿宋_GB2312"/>
                <w:color w:val="000000"/>
                <w:sz w:val="24"/>
                <w:highlight w:val="none"/>
                <w:lang w:bidi="ar"/>
              </w:rPr>
              <w:t>大学</w:t>
            </w:r>
          </w:p>
        </w:tc>
        <w:tc>
          <w:tcPr>
            <w:tcW w:w="1597" w:type="pct"/>
            <w:tcBorders>
              <w:top w:val="single" w:color="auto" w:sz="4" w:space="0"/>
              <w:left w:val="single" w:color="auto" w:sz="4" w:space="0"/>
              <w:bottom w:val="single" w:color="auto" w:sz="4" w:space="0"/>
              <w:right w:val="single" w:color="auto" w:sz="4" w:space="0"/>
            </w:tcBorders>
            <w:noWrap w:val="0"/>
            <w:vAlign w:val="center"/>
          </w:tcPr>
          <w:p w14:paraId="52EDA904">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统筹主持标准编制工作</w:t>
            </w:r>
          </w:p>
        </w:tc>
      </w:tr>
      <w:tr w14:paraId="2E9A86AE">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14BF058D">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唐文伟</w:t>
            </w:r>
          </w:p>
        </w:tc>
        <w:tc>
          <w:tcPr>
            <w:tcW w:w="865" w:type="pct"/>
            <w:tcBorders>
              <w:top w:val="single" w:color="000000" w:sz="2" w:space="0"/>
              <w:left w:val="single" w:color="auto" w:sz="4" w:space="0"/>
              <w:bottom w:val="single" w:color="auto" w:sz="4" w:space="0"/>
              <w:right w:val="single" w:color="auto" w:sz="4" w:space="0"/>
            </w:tcBorders>
            <w:noWrap w:val="0"/>
            <w:vAlign w:val="center"/>
          </w:tcPr>
          <w:p w14:paraId="031F858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教授</w:t>
            </w:r>
          </w:p>
        </w:tc>
        <w:tc>
          <w:tcPr>
            <w:tcW w:w="1001" w:type="pct"/>
            <w:tcBorders>
              <w:top w:val="single" w:color="000000" w:sz="2" w:space="0"/>
              <w:left w:val="single" w:color="auto" w:sz="4" w:space="0"/>
              <w:bottom w:val="single" w:color="auto" w:sz="4" w:space="0"/>
              <w:right w:val="single" w:color="auto" w:sz="4" w:space="0"/>
            </w:tcBorders>
            <w:noWrap w:val="0"/>
            <w:vAlign w:val="center"/>
          </w:tcPr>
          <w:p w14:paraId="4100925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农药学</w:t>
            </w:r>
          </w:p>
        </w:tc>
        <w:tc>
          <w:tcPr>
            <w:tcW w:w="1001" w:type="pct"/>
            <w:tcBorders>
              <w:top w:val="single" w:color="000000" w:sz="2" w:space="0"/>
              <w:left w:val="single" w:color="auto" w:sz="4" w:space="0"/>
              <w:bottom w:val="single" w:color="auto" w:sz="4" w:space="0"/>
              <w:right w:val="single" w:color="auto" w:sz="4" w:space="0"/>
            </w:tcBorders>
            <w:noWrap w:val="0"/>
            <w:vAlign w:val="center"/>
          </w:tcPr>
          <w:p w14:paraId="5523AC3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广西大学</w:t>
            </w:r>
          </w:p>
        </w:tc>
        <w:tc>
          <w:tcPr>
            <w:tcW w:w="1597" w:type="pct"/>
            <w:tcBorders>
              <w:top w:val="single" w:color="auto" w:sz="4" w:space="0"/>
              <w:left w:val="single" w:color="auto" w:sz="4" w:space="0"/>
              <w:bottom w:val="single" w:color="auto" w:sz="4" w:space="0"/>
              <w:right w:val="single" w:color="auto" w:sz="4" w:space="0"/>
            </w:tcBorders>
            <w:noWrap w:val="0"/>
            <w:vAlign w:val="center"/>
          </w:tcPr>
          <w:p w14:paraId="229F0DAD">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参与标准编制工作，组织人员进行标准发布后的宣贯培训。</w:t>
            </w:r>
          </w:p>
        </w:tc>
      </w:tr>
      <w:tr w14:paraId="35AEC2D6">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51C2B113">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罗学夫</w:t>
            </w:r>
          </w:p>
        </w:tc>
        <w:tc>
          <w:tcPr>
            <w:tcW w:w="865" w:type="pct"/>
            <w:tcBorders>
              <w:top w:val="single" w:color="000000" w:sz="2" w:space="0"/>
              <w:left w:val="single" w:color="auto" w:sz="4" w:space="0"/>
              <w:bottom w:val="single" w:color="auto" w:sz="4" w:space="0"/>
              <w:right w:val="single" w:color="auto" w:sz="4" w:space="0"/>
            </w:tcBorders>
            <w:noWrap w:val="0"/>
            <w:vAlign w:val="center"/>
          </w:tcPr>
          <w:p w14:paraId="235ECF4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高级农艺师</w:t>
            </w:r>
          </w:p>
        </w:tc>
        <w:tc>
          <w:tcPr>
            <w:tcW w:w="1001" w:type="pct"/>
            <w:tcBorders>
              <w:top w:val="single" w:color="000000" w:sz="2" w:space="0"/>
              <w:left w:val="single" w:color="auto" w:sz="4" w:space="0"/>
              <w:bottom w:val="single" w:color="auto" w:sz="4" w:space="0"/>
              <w:right w:val="single" w:color="auto" w:sz="4" w:space="0"/>
            </w:tcBorders>
            <w:noWrap w:val="0"/>
            <w:vAlign w:val="center"/>
          </w:tcPr>
          <w:p w14:paraId="330C001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仿宋_GB2312" w:hAnsi="仿宋_GB2312" w:eastAsia="仿宋_GB2312" w:cs="仿宋_GB2312"/>
                <w:color w:val="000000"/>
                <w:sz w:val="24"/>
                <w:highlight w:val="none"/>
                <w:lang w:bidi="ar"/>
              </w:rPr>
            </w:pPr>
            <w:r>
              <w:rPr>
                <w:rFonts w:ascii="仿宋_GB2312" w:hAnsi="仿宋_GB2312" w:eastAsia="仿宋_GB2312" w:cs="仿宋_GB2312"/>
                <w:color w:val="000000"/>
                <w:sz w:val="24"/>
                <w:highlight w:val="none"/>
                <w:lang w:bidi="ar"/>
              </w:rPr>
              <w:t>植物科学</w:t>
            </w:r>
          </w:p>
          <w:p w14:paraId="1F6C429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ascii="仿宋_GB2312" w:hAnsi="仿宋_GB2312" w:eastAsia="仿宋_GB2312" w:cs="仿宋_GB2312"/>
                <w:color w:val="000000"/>
                <w:sz w:val="24"/>
                <w:highlight w:val="none"/>
                <w:lang w:bidi="ar"/>
              </w:rPr>
              <w:t>与技术</w:t>
            </w:r>
          </w:p>
        </w:tc>
        <w:tc>
          <w:tcPr>
            <w:tcW w:w="1001" w:type="pct"/>
            <w:tcBorders>
              <w:top w:val="single" w:color="000000" w:sz="2" w:space="0"/>
              <w:left w:val="single" w:color="auto" w:sz="4" w:space="0"/>
              <w:bottom w:val="single" w:color="auto" w:sz="4" w:space="0"/>
              <w:right w:val="single" w:color="auto" w:sz="4" w:space="0"/>
            </w:tcBorders>
            <w:noWrap w:val="0"/>
            <w:vAlign w:val="center"/>
          </w:tcPr>
          <w:p w14:paraId="493EA14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广西玉林市树锋农业机械科技有限公司</w:t>
            </w:r>
          </w:p>
        </w:tc>
        <w:tc>
          <w:tcPr>
            <w:tcW w:w="1597" w:type="pct"/>
            <w:tcBorders>
              <w:top w:val="single" w:color="auto" w:sz="4" w:space="0"/>
              <w:left w:val="single" w:color="auto" w:sz="4" w:space="0"/>
              <w:bottom w:val="single" w:color="auto" w:sz="4" w:space="0"/>
              <w:right w:val="single" w:color="auto" w:sz="4" w:space="0"/>
            </w:tcBorders>
            <w:noWrap w:val="0"/>
            <w:vAlign w:val="center"/>
          </w:tcPr>
          <w:p w14:paraId="269219A3">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b/>
                <w:bCs/>
                <w:color w:val="000000"/>
                <w:sz w:val="24"/>
                <w:highlight w:val="none"/>
                <w:lang w:bidi="ar"/>
              </w:rPr>
            </w:pPr>
            <w:r>
              <w:rPr>
                <w:rFonts w:hint="eastAsia" w:ascii="仿宋_GB2312" w:hAnsi="仿宋_GB2312" w:eastAsia="仿宋_GB2312" w:cs="仿宋_GB2312"/>
                <w:color w:val="000000"/>
                <w:sz w:val="24"/>
                <w:highlight w:val="none"/>
                <w:lang w:bidi="ar"/>
              </w:rPr>
              <w:t>参与标准文本及编制说明编写，质量控制。</w:t>
            </w:r>
          </w:p>
        </w:tc>
      </w:tr>
      <w:tr w14:paraId="29212102">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7B50D5BB">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江立庚</w:t>
            </w:r>
          </w:p>
        </w:tc>
        <w:tc>
          <w:tcPr>
            <w:tcW w:w="865" w:type="pct"/>
            <w:tcBorders>
              <w:top w:val="single" w:color="000000" w:sz="2" w:space="0"/>
              <w:left w:val="single" w:color="auto" w:sz="4" w:space="0"/>
              <w:bottom w:val="single" w:color="auto" w:sz="4" w:space="0"/>
              <w:right w:val="single" w:color="auto" w:sz="4" w:space="0"/>
            </w:tcBorders>
            <w:noWrap w:val="0"/>
            <w:vAlign w:val="center"/>
          </w:tcPr>
          <w:p w14:paraId="50778C7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教授</w:t>
            </w:r>
          </w:p>
        </w:tc>
        <w:tc>
          <w:tcPr>
            <w:tcW w:w="1001" w:type="pct"/>
            <w:tcBorders>
              <w:top w:val="single" w:color="000000" w:sz="2" w:space="0"/>
              <w:left w:val="single" w:color="auto" w:sz="4" w:space="0"/>
              <w:bottom w:val="single" w:color="auto" w:sz="4" w:space="0"/>
              <w:right w:val="single" w:color="auto" w:sz="4" w:space="0"/>
            </w:tcBorders>
            <w:noWrap w:val="0"/>
            <w:vAlign w:val="center"/>
          </w:tcPr>
          <w:p w14:paraId="354E64E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作物栽培学与耕作学</w:t>
            </w:r>
          </w:p>
        </w:tc>
        <w:tc>
          <w:tcPr>
            <w:tcW w:w="1001" w:type="pct"/>
            <w:tcBorders>
              <w:top w:val="single" w:color="000000" w:sz="2" w:space="0"/>
              <w:left w:val="single" w:color="auto" w:sz="4" w:space="0"/>
              <w:bottom w:val="single" w:color="auto" w:sz="4" w:space="0"/>
              <w:right w:val="single" w:color="auto" w:sz="4" w:space="0"/>
            </w:tcBorders>
            <w:noWrap w:val="0"/>
            <w:vAlign w:val="center"/>
          </w:tcPr>
          <w:p w14:paraId="0721AFA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广西大学</w:t>
            </w:r>
          </w:p>
        </w:tc>
        <w:tc>
          <w:tcPr>
            <w:tcW w:w="1597" w:type="pct"/>
            <w:tcBorders>
              <w:top w:val="single" w:color="auto" w:sz="4" w:space="0"/>
              <w:left w:val="single" w:color="auto" w:sz="4" w:space="0"/>
              <w:bottom w:val="single" w:color="auto" w:sz="4" w:space="0"/>
              <w:right w:val="single" w:color="auto" w:sz="4" w:space="0"/>
            </w:tcBorders>
            <w:noWrap w:val="0"/>
            <w:vAlign w:val="center"/>
          </w:tcPr>
          <w:p w14:paraId="70C4A45E">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b/>
                <w:bCs/>
                <w:color w:val="000000"/>
                <w:sz w:val="24"/>
                <w:highlight w:val="none"/>
                <w:lang w:bidi="ar"/>
              </w:rPr>
            </w:pPr>
            <w:r>
              <w:rPr>
                <w:rFonts w:hint="eastAsia" w:ascii="仿宋_GB2312" w:hAnsi="仿宋_GB2312" w:eastAsia="仿宋_GB2312" w:cs="仿宋_GB2312"/>
                <w:color w:val="000000"/>
                <w:sz w:val="24"/>
                <w:highlight w:val="none"/>
                <w:lang w:bidi="ar"/>
              </w:rPr>
              <w:t xml:space="preserve">参与标准文本及编制说明的编写；组织开展标准征求意见会 </w:t>
            </w:r>
          </w:p>
        </w:tc>
      </w:tr>
      <w:tr w14:paraId="064DC439">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055F9565">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杨为芳</w:t>
            </w:r>
          </w:p>
        </w:tc>
        <w:tc>
          <w:tcPr>
            <w:tcW w:w="865" w:type="pct"/>
            <w:tcBorders>
              <w:top w:val="single" w:color="000000" w:sz="2" w:space="0"/>
              <w:left w:val="single" w:color="auto" w:sz="4" w:space="0"/>
              <w:bottom w:val="single" w:color="000000" w:sz="2" w:space="0"/>
              <w:right w:val="single" w:color="auto" w:sz="4" w:space="0"/>
            </w:tcBorders>
            <w:noWrap w:val="0"/>
            <w:vAlign w:val="center"/>
          </w:tcPr>
          <w:p w14:paraId="573B123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副理事长</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2493AED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作物栽培学与耕作学</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41E2CDE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广西作物学会</w:t>
            </w:r>
          </w:p>
        </w:tc>
        <w:tc>
          <w:tcPr>
            <w:tcW w:w="1597" w:type="pct"/>
            <w:tcBorders>
              <w:top w:val="single" w:color="auto" w:sz="4" w:space="0"/>
              <w:left w:val="single" w:color="auto" w:sz="4" w:space="0"/>
              <w:bottom w:val="single" w:color="auto" w:sz="4" w:space="0"/>
              <w:right w:val="single" w:color="auto" w:sz="4" w:space="0"/>
            </w:tcBorders>
            <w:noWrap w:val="0"/>
            <w:vAlign w:val="top"/>
          </w:tcPr>
          <w:p w14:paraId="73FB401D">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对标准实施情况进行总结分析，不断对标准提出修正意见。</w:t>
            </w:r>
          </w:p>
        </w:tc>
      </w:tr>
      <w:tr w14:paraId="7122E067">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267D7B26">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周国列</w:t>
            </w:r>
          </w:p>
        </w:tc>
        <w:tc>
          <w:tcPr>
            <w:tcW w:w="865" w:type="pct"/>
            <w:tcBorders>
              <w:top w:val="single" w:color="000000" w:sz="2" w:space="0"/>
              <w:left w:val="single" w:color="auto" w:sz="4" w:space="0"/>
              <w:bottom w:val="single" w:color="auto" w:sz="4" w:space="0"/>
              <w:right w:val="single" w:color="auto" w:sz="4" w:space="0"/>
            </w:tcBorders>
            <w:noWrap w:val="0"/>
            <w:vAlign w:val="center"/>
          </w:tcPr>
          <w:p w14:paraId="438ED5D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副院长</w:t>
            </w:r>
          </w:p>
        </w:tc>
        <w:tc>
          <w:tcPr>
            <w:tcW w:w="1001" w:type="pct"/>
            <w:tcBorders>
              <w:top w:val="single" w:color="000000" w:sz="2" w:space="0"/>
              <w:left w:val="single" w:color="auto" w:sz="4" w:space="0"/>
              <w:bottom w:val="single" w:color="auto" w:sz="4" w:space="0"/>
              <w:right w:val="single" w:color="auto" w:sz="4" w:space="0"/>
            </w:tcBorders>
            <w:noWrap w:val="0"/>
            <w:vAlign w:val="center"/>
          </w:tcPr>
          <w:p w14:paraId="712ABEF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ascii="仿宋_GB2312" w:hAnsi="仿宋_GB2312" w:eastAsia="仿宋_GB2312" w:cs="仿宋_GB2312"/>
                <w:color w:val="000000"/>
                <w:sz w:val="24"/>
                <w:highlight w:val="none"/>
                <w:lang w:bidi="ar"/>
              </w:rPr>
              <w:t>农学</w:t>
            </w:r>
          </w:p>
        </w:tc>
        <w:tc>
          <w:tcPr>
            <w:tcW w:w="1001" w:type="pct"/>
            <w:tcBorders>
              <w:top w:val="single" w:color="000000" w:sz="2" w:space="0"/>
              <w:left w:val="single" w:color="auto" w:sz="4" w:space="0"/>
              <w:bottom w:val="single" w:color="auto" w:sz="4" w:space="0"/>
              <w:right w:val="single" w:color="auto" w:sz="4" w:space="0"/>
            </w:tcBorders>
            <w:noWrap w:val="0"/>
            <w:vAlign w:val="center"/>
          </w:tcPr>
          <w:p w14:paraId="425D255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玉林市农业科学院</w:t>
            </w:r>
          </w:p>
        </w:tc>
        <w:tc>
          <w:tcPr>
            <w:tcW w:w="1597" w:type="pct"/>
            <w:tcBorders>
              <w:top w:val="single" w:color="auto" w:sz="4" w:space="0"/>
              <w:left w:val="single" w:color="auto" w:sz="4" w:space="0"/>
              <w:bottom w:val="single" w:color="auto" w:sz="4" w:space="0"/>
              <w:right w:val="single" w:color="auto" w:sz="4" w:space="0"/>
            </w:tcBorders>
            <w:noWrap w:val="0"/>
            <w:vAlign w:val="top"/>
          </w:tcPr>
          <w:p w14:paraId="30133714">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b/>
                <w:bCs/>
                <w:color w:val="000000"/>
                <w:sz w:val="24"/>
                <w:highlight w:val="none"/>
                <w:lang w:bidi="ar"/>
              </w:rPr>
            </w:pPr>
            <w:r>
              <w:rPr>
                <w:rFonts w:hint="eastAsia" w:ascii="仿宋_GB2312" w:hAnsi="仿宋_GB2312" w:eastAsia="仿宋_GB2312" w:cs="仿宋_GB2312"/>
                <w:color w:val="000000"/>
                <w:sz w:val="24"/>
                <w:highlight w:val="none"/>
                <w:lang w:bidi="ar"/>
              </w:rPr>
              <w:t>对标准实施情况进行总结分析，不断对标准提出修正意见。</w:t>
            </w:r>
          </w:p>
        </w:tc>
      </w:tr>
      <w:tr w14:paraId="268D84FC">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3A061366">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田华</w:t>
            </w:r>
          </w:p>
        </w:tc>
        <w:tc>
          <w:tcPr>
            <w:tcW w:w="865" w:type="pct"/>
            <w:tcBorders>
              <w:top w:val="single" w:color="000000" w:sz="2" w:space="0"/>
              <w:left w:val="single" w:color="auto" w:sz="4" w:space="0"/>
              <w:bottom w:val="single" w:color="auto" w:sz="4" w:space="0"/>
              <w:right w:val="single" w:color="auto" w:sz="4" w:space="0"/>
            </w:tcBorders>
            <w:noWrap w:val="0"/>
            <w:vAlign w:val="center"/>
          </w:tcPr>
          <w:p w14:paraId="0F6A2E0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副教授</w:t>
            </w:r>
          </w:p>
        </w:tc>
        <w:tc>
          <w:tcPr>
            <w:tcW w:w="1001" w:type="pct"/>
            <w:tcBorders>
              <w:top w:val="single" w:color="000000" w:sz="2" w:space="0"/>
              <w:left w:val="single" w:color="auto" w:sz="4" w:space="0"/>
              <w:bottom w:val="single" w:color="auto" w:sz="4" w:space="0"/>
              <w:right w:val="single" w:color="auto" w:sz="4" w:space="0"/>
            </w:tcBorders>
            <w:noWrap w:val="0"/>
            <w:vAlign w:val="center"/>
          </w:tcPr>
          <w:p w14:paraId="4E0EC60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作物栽培学与耕作学</w:t>
            </w:r>
          </w:p>
        </w:tc>
        <w:tc>
          <w:tcPr>
            <w:tcW w:w="1001" w:type="pct"/>
            <w:tcBorders>
              <w:top w:val="single" w:color="000000" w:sz="2" w:space="0"/>
              <w:left w:val="single" w:color="auto" w:sz="4" w:space="0"/>
              <w:bottom w:val="single" w:color="auto" w:sz="4" w:space="0"/>
              <w:right w:val="single" w:color="auto" w:sz="4" w:space="0"/>
            </w:tcBorders>
            <w:noWrap w:val="0"/>
            <w:vAlign w:val="center"/>
          </w:tcPr>
          <w:p w14:paraId="25EC007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华南农业大学</w:t>
            </w:r>
          </w:p>
        </w:tc>
        <w:tc>
          <w:tcPr>
            <w:tcW w:w="1597" w:type="pct"/>
            <w:tcBorders>
              <w:top w:val="single" w:color="auto" w:sz="4" w:space="0"/>
              <w:left w:val="single" w:color="auto" w:sz="4" w:space="0"/>
              <w:bottom w:val="single" w:color="auto" w:sz="4" w:space="0"/>
              <w:right w:val="single" w:color="auto" w:sz="4" w:space="0"/>
            </w:tcBorders>
            <w:noWrap w:val="0"/>
            <w:vAlign w:val="top"/>
          </w:tcPr>
          <w:p w14:paraId="388C44DB">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b/>
                <w:bCs/>
                <w:color w:val="000000"/>
                <w:sz w:val="24"/>
                <w:highlight w:val="none"/>
                <w:lang w:bidi="ar"/>
              </w:rPr>
            </w:pPr>
            <w:r>
              <w:rPr>
                <w:rFonts w:hint="eastAsia" w:ascii="仿宋_GB2312" w:hAnsi="仿宋_GB2312" w:eastAsia="仿宋_GB2312" w:cs="仿宋_GB2312"/>
                <w:color w:val="000000"/>
                <w:sz w:val="24"/>
                <w:highlight w:val="none"/>
                <w:lang w:bidi="ar"/>
              </w:rPr>
              <w:t>对标准实施情况进行总结分析，不断对标准提出修正意见。</w:t>
            </w:r>
          </w:p>
        </w:tc>
      </w:tr>
      <w:tr w14:paraId="74B88A28">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3E34851E">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唐茂艳</w:t>
            </w:r>
          </w:p>
        </w:tc>
        <w:tc>
          <w:tcPr>
            <w:tcW w:w="865" w:type="pct"/>
            <w:tcBorders>
              <w:top w:val="single" w:color="000000" w:sz="2" w:space="0"/>
              <w:left w:val="single" w:color="auto" w:sz="4" w:space="0"/>
              <w:bottom w:val="single" w:color="auto" w:sz="4" w:space="0"/>
              <w:right w:val="single" w:color="auto" w:sz="4" w:space="0"/>
            </w:tcBorders>
            <w:noWrap w:val="0"/>
            <w:vAlign w:val="center"/>
          </w:tcPr>
          <w:p w14:paraId="18CC54A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研究员</w:t>
            </w:r>
          </w:p>
        </w:tc>
        <w:tc>
          <w:tcPr>
            <w:tcW w:w="1001" w:type="pct"/>
            <w:tcBorders>
              <w:top w:val="single" w:color="000000" w:sz="2" w:space="0"/>
              <w:left w:val="single" w:color="auto" w:sz="4" w:space="0"/>
              <w:bottom w:val="single" w:color="auto" w:sz="4" w:space="0"/>
              <w:right w:val="single" w:color="auto" w:sz="4" w:space="0"/>
            </w:tcBorders>
            <w:noWrap w:val="0"/>
            <w:vAlign w:val="center"/>
          </w:tcPr>
          <w:p w14:paraId="3BB3ED0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作物栽培学与耕作学</w:t>
            </w:r>
          </w:p>
        </w:tc>
        <w:tc>
          <w:tcPr>
            <w:tcW w:w="1001" w:type="pct"/>
            <w:tcBorders>
              <w:top w:val="single" w:color="000000" w:sz="2" w:space="0"/>
              <w:left w:val="single" w:color="auto" w:sz="4" w:space="0"/>
              <w:bottom w:val="single" w:color="auto" w:sz="4" w:space="0"/>
              <w:right w:val="single" w:color="auto" w:sz="4" w:space="0"/>
            </w:tcBorders>
            <w:noWrap w:val="0"/>
            <w:vAlign w:val="center"/>
          </w:tcPr>
          <w:p w14:paraId="49D5958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广西农业科学院</w:t>
            </w:r>
          </w:p>
        </w:tc>
        <w:tc>
          <w:tcPr>
            <w:tcW w:w="1597" w:type="pct"/>
            <w:tcBorders>
              <w:top w:val="single" w:color="auto" w:sz="4" w:space="0"/>
              <w:left w:val="single" w:color="auto" w:sz="4" w:space="0"/>
              <w:bottom w:val="single" w:color="auto" w:sz="4" w:space="0"/>
              <w:right w:val="single" w:color="auto" w:sz="4" w:space="0"/>
            </w:tcBorders>
            <w:noWrap w:val="0"/>
            <w:vAlign w:val="top"/>
          </w:tcPr>
          <w:p w14:paraId="30CC4A15">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b/>
                <w:bCs/>
                <w:color w:val="000000"/>
                <w:sz w:val="24"/>
                <w:highlight w:val="none"/>
                <w:lang w:bidi="ar"/>
              </w:rPr>
            </w:pPr>
            <w:r>
              <w:rPr>
                <w:rFonts w:hint="eastAsia" w:ascii="仿宋_GB2312" w:hAnsi="仿宋_GB2312" w:eastAsia="仿宋_GB2312" w:cs="仿宋_GB2312"/>
                <w:color w:val="000000"/>
                <w:sz w:val="24"/>
                <w:highlight w:val="none"/>
                <w:lang w:bidi="ar"/>
              </w:rPr>
              <w:t>对标准实施情况进行总结分析，不断对标准提出修正意见。</w:t>
            </w:r>
          </w:p>
        </w:tc>
      </w:tr>
      <w:tr w14:paraId="3F339FB7">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5E750F3D">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滕峥</w:t>
            </w:r>
          </w:p>
        </w:tc>
        <w:tc>
          <w:tcPr>
            <w:tcW w:w="865" w:type="pct"/>
            <w:tcBorders>
              <w:top w:val="single" w:color="000000" w:sz="2" w:space="0"/>
              <w:left w:val="single" w:color="auto" w:sz="4" w:space="0"/>
              <w:bottom w:val="single" w:color="000000" w:sz="2" w:space="0"/>
              <w:right w:val="single" w:color="auto" w:sz="4" w:space="0"/>
            </w:tcBorders>
            <w:noWrap w:val="0"/>
            <w:vAlign w:val="center"/>
          </w:tcPr>
          <w:p w14:paraId="1F7353C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副教授</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49701F7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ascii="仿宋_GB2312" w:hAnsi="仿宋_GB2312" w:eastAsia="仿宋_GB2312" w:cs="仿宋_GB2312"/>
                <w:color w:val="000000"/>
                <w:sz w:val="24"/>
                <w:highlight w:val="none"/>
                <w:lang w:bidi="ar"/>
              </w:rPr>
              <w:t>农学</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749D4DB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百色学院</w:t>
            </w:r>
          </w:p>
        </w:tc>
        <w:tc>
          <w:tcPr>
            <w:tcW w:w="1597" w:type="pct"/>
            <w:tcBorders>
              <w:top w:val="single" w:color="auto" w:sz="4" w:space="0"/>
              <w:left w:val="single" w:color="auto" w:sz="4" w:space="0"/>
              <w:bottom w:val="single" w:color="auto" w:sz="4" w:space="0"/>
              <w:right w:val="single" w:color="auto" w:sz="4" w:space="0"/>
            </w:tcBorders>
            <w:noWrap w:val="0"/>
            <w:vAlign w:val="top"/>
          </w:tcPr>
          <w:p w14:paraId="401A8C9D">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b/>
                <w:bCs/>
                <w:color w:val="000000"/>
                <w:sz w:val="24"/>
                <w:highlight w:val="none"/>
                <w:lang w:bidi="ar"/>
              </w:rPr>
            </w:pPr>
            <w:r>
              <w:rPr>
                <w:rFonts w:hint="eastAsia" w:ascii="仿宋_GB2312" w:hAnsi="仿宋_GB2312" w:eastAsia="仿宋_GB2312" w:cs="仿宋_GB2312"/>
                <w:color w:val="000000"/>
                <w:sz w:val="24"/>
                <w:highlight w:val="none"/>
                <w:lang w:bidi="ar"/>
              </w:rPr>
              <w:t>对标准实施情况进行总结分析，不断对标准提出修正意见。</w:t>
            </w:r>
          </w:p>
        </w:tc>
      </w:tr>
      <w:tr w14:paraId="6998DC37">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43B150B0">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袁鹏丽</w:t>
            </w:r>
          </w:p>
        </w:tc>
        <w:tc>
          <w:tcPr>
            <w:tcW w:w="865" w:type="pct"/>
            <w:tcBorders>
              <w:top w:val="single" w:color="000000" w:sz="2" w:space="0"/>
              <w:left w:val="single" w:color="auto" w:sz="4" w:space="0"/>
              <w:bottom w:val="single" w:color="000000" w:sz="2" w:space="0"/>
              <w:right w:val="single" w:color="auto" w:sz="4" w:space="0"/>
            </w:tcBorders>
            <w:noWrap w:val="0"/>
            <w:vAlign w:val="center"/>
          </w:tcPr>
          <w:p w14:paraId="5096091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副教授</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3BDA4B1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作物栽培学与耕作学</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1423420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广西大学</w:t>
            </w:r>
          </w:p>
        </w:tc>
        <w:tc>
          <w:tcPr>
            <w:tcW w:w="1597" w:type="pct"/>
            <w:tcBorders>
              <w:top w:val="single" w:color="auto" w:sz="4" w:space="0"/>
              <w:left w:val="single" w:color="auto" w:sz="4" w:space="0"/>
              <w:bottom w:val="single" w:color="auto" w:sz="4" w:space="0"/>
              <w:right w:val="single" w:color="auto" w:sz="4" w:space="0"/>
            </w:tcBorders>
            <w:noWrap w:val="0"/>
            <w:vAlign w:val="center"/>
          </w:tcPr>
          <w:p w14:paraId="054CD5F5">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参与标准文本及编制说明的编写；组织开展标准征求意见会</w:t>
            </w:r>
          </w:p>
        </w:tc>
      </w:tr>
      <w:tr w14:paraId="7FCC7107">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6FFB84B5">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邓俊</w:t>
            </w:r>
          </w:p>
        </w:tc>
        <w:tc>
          <w:tcPr>
            <w:tcW w:w="865" w:type="pct"/>
            <w:tcBorders>
              <w:top w:val="single" w:color="000000" w:sz="2" w:space="0"/>
              <w:left w:val="single" w:color="auto" w:sz="4" w:space="0"/>
              <w:bottom w:val="single" w:color="000000" w:sz="2" w:space="0"/>
              <w:right w:val="single" w:color="auto" w:sz="4" w:space="0"/>
            </w:tcBorders>
            <w:noWrap w:val="0"/>
            <w:vAlign w:val="center"/>
          </w:tcPr>
          <w:p w14:paraId="2FB22D3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助理教授</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7409F92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作物栽培学与耕作学</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765148C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广西大学</w:t>
            </w:r>
          </w:p>
        </w:tc>
        <w:tc>
          <w:tcPr>
            <w:tcW w:w="1597" w:type="pct"/>
            <w:tcBorders>
              <w:top w:val="single" w:color="auto" w:sz="4" w:space="0"/>
              <w:left w:val="single" w:color="auto" w:sz="4" w:space="0"/>
              <w:bottom w:val="single" w:color="auto" w:sz="4" w:space="0"/>
              <w:right w:val="single" w:color="auto" w:sz="4" w:space="0"/>
            </w:tcBorders>
            <w:noWrap w:val="0"/>
            <w:vAlign w:val="top"/>
          </w:tcPr>
          <w:p w14:paraId="0DAA4490">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对标准实施情况进行总结分析，不断对标准提出修正意见。</w:t>
            </w:r>
          </w:p>
        </w:tc>
      </w:tr>
      <w:tr w14:paraId="6FDFFD6E">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22E31797">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孙玉</w:t>
            </w:r>
            <w:r>
              <w:rPr>
                <w:rFonts w:hint="eastAsia" w:ascii="宋体" w:hAnsi="宋体" w:eastAsia="宋体" w:cs="宋体"/>
                <w:color w:val="000000"/>
                <w:sz w:val="24"/>
                <w:highlight w:val="none"/>
                <w:lang w:bidi="ar"/>
              </w:rPr>
              <w:t>珺</w:t>
            </w:r>
          </w:p>
        </w:tc>
        <w:tc>
          <w:tcPr>
            <w:tcW w:w="865" w:type="pct"/>
            <w:tcBorders>
              <w:top w:val="single" w:color="000000" w:sz="2" w:space="0"/>
              <w:left w:val="single" w:color="auto" w:sz="4" w:space="0"/>
              <w:bottom w:val="single" w:color="000000" w:sz="2" w:space="0"/>
              <w:right w:val="single" w:color="auto" w:sz="4" w:space="0"/>
            </w:tcBorders>
            <w:noWrap w:val="0"/>
            <w:vAlign w:val="center"/>
          </w:tcPr>
          <w:p w14:paraId="5B0C728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助理教授</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762D70E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作物栽培学与耕作学</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61B8EF5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广西大学</w:t>
            </w:r>
          </w:p>
        </w:tc>
        <w:tc>
          <w:tcPr>
            <w:tcW w:w="1597" w:type="pct"/>
            <w:tcBorders>
              <w:top w:val="single" w:color="auto" w:sz="4" w:space="0"/>
              <w:left w:val="single" w:color="auto" w:sz="4" w:space="0"/>
              <w:bottom w:val="single" w:color="auto" w:sz="4" w:space="0"/>
              <w:right w:val="single" w:color="auto" w:sz="4" w:space="0"/>
            </w:tcBorders>
            <w:noWrap w:val="0"/>
            <w:vAlign w:val="top"/>
          </w:tcPr>
          <w:p w14:paraId="546CBA53">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对标准实施情况进行总结分析，不断对标准提出修正意见。</w:t>
            </w:r>
          </w:p>
        </w:tc>
      </w:tr>
      <w:tr w14:paraId="423B1108">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53204785">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余新桥</w:t>
            </w:r>
          </w:p>
        </w:tc>
        <w:tc>
          <w:tcPr>
            <w:tcW w:w="865" w:type="pct"/>
            <w:tcBorders>
              <w:top w:val="single" w:color="000000" w:sz="2" w:space="0"/>
              <w:left w:val="single" w:color="auto" w:sz="4" w:space="0"/>
              <w:bottom w:val="single" w:color="000000" w:sz="2" w:space="0"/>
              <w:right w:val="single" w:color="auto" w:sz="4" w:space="0"/>
            </w:tcBorders>
            <w:noWrap w:val="0"/>
            <w:vAlign w:val="center"/>
          </w:tcPr>
          <w:p w14:paraId="4C255F8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教授</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3608640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作物</w:t>
            </w:r>
            <w:r>
              <w:rPr>
                <w:rFonts w:ascii="仿宋_GB2312" w:hAnsi="仿宋_GB2312" w:eastAsia="仿宋_GB2312" w:cs="仿宋_GB2312"/>
                <w:color w:val="000000"/>
                <w:sz w:val="24"/>
                <w:highlight w:val="none"/>
                <w:lang w:bidi="ar"/>
              </w:rPr>
              <w:t>遗传育种</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0E2D853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华南农业大学</w:t>
            </w:r>
          </w:p>
        </w:tc>
        <w:tc>
          <w:tcPr>
            <w:tcW w:w="1597" w:type="pct"/>
            <w:tcBorders>
              <w:top w:val="single" w:color="auto" w:sz="4" w:space="0"/>
              <w:left w:val="single" w:color="auto" w:sz="4" w:space="0"/>
              <w:bottom w:val="single" w:color="auto" w:sz="4" w:space="0"/>
              <w:right w:val="single" w:color="auto" w:sz="4" w:space="0"/>
            </w:tcBorders>
            <w:noWrap w:val="0"/>
            <w:vAlign w:val="top"/>
          </w:tcPr>
          <w:p w14:paraId="5F07F5EA">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对标准实施情况进行总结分析，不断对标准提出修正意见。</w:t>
            </w:r>
          </w:p>
        </w:tc>
      </w:tr>
      <w:tr w14:paraId="0E326C38">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0CF9C57D">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玉新爱</w:t>
            </w:r>
          </w:p>
        </w:tc>
        <w:tc>
          <w:tcPr>
            <w:tcW w:w="865" w:type="pct"/>
            <w:tcBorders>
              <w:top w:val="single" w:color="000000" w:sz="2" w:space="0"/>
              <w:left w:val="single" w:color="auto" w:sz="4" w:space="0"/>
              <w:bottom w:val="single" w:color="000000" w:sz="2" w:space="0"/>
              <w:right w:val="single" w:color="auto" w:sz="4" w:space="0"/>
            </w:tcBorders>
            <w:noWrap w:val="0"/>
            <w:vAlign w:val="center"/>
          </w:tcPr>
          <w:p w14:paraId="1A8A360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农艺师</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6BF69EE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ascii="仿宋_GB2312" w:hAnsi="仿宋_GB2312" w:eastAsia="仿宋_GB2312" w:cs="仿宋_GB2312"/>
                <w:color w:val="000000"/>
                <w:sz w:val="24"/>
                <w:highlight w:val="none"/>
                <w:lang w:bidi="ar"/>
              </w:rPr>
              <w:t>农学</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11BA4CE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玉林市农业科学院</w:t>
            </w:r>
          </w:p>
        </w:tc>
        <w:tc>
          <w:tcPr>
            <w:tcW w:w="1597" w:type="pct"/>
            <w:tcBorders>
              <w:top w:val="single" w:color="auto" w:sz="4" w:space="0"/>
              <w:left w:val="single" w:color="auto" w:sz="4" w:space="0"/>
              <w:bottom w:val="single" w:color="auto" w:sz="4" w:space="0"/>
              <w:right w:val="single" w:color="auto" w:sz="4" w:space="0"/>
            </w:tcBorders>
            <w:noWrap w:val="0"/>
            <w:vAlign w:val="top"/>
          </w:tcPr>
          <w:p w14:paraId="684F9D71">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对标准实施情况进行总结分析，不断对标准提出修正意见。</w:t>
            </w:r>
          </w:p>
        </w:tc>
      </w:tr>
      <w:tr w14:paraId="105CDD22">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3925C1C3">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梁林生</w:t>
            </w:r>
          </w:p>
        </w:tc>
        <w:tc>
          <w:tcPr>
            <w:tcW w:w="865" w:type="pct"/>
            <w:tcBorders>
              <w:top w:val="single" w:color="000000" w:sz="2" w:space="0"/>
              <w:left w:val="single" w:color="auto" w:sz="4" w:space="0"/>
              <w:bottom w:val="single" w:color="000000" w:sz="2" w:space="0"/>
              <w:right w:val="single" w:color="auto" w:sz="4" w:space="0"/>
            </w:tcBorders>
            <w:noWrap w:val="0"/>
            <w:vAlign w:val="center"/>
          </w:tcPr>
          <w:p w14:paraId="7EE1DD0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农艺师</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3EC505D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ascii="仿宋_GB2312" w:hAnsi="仿宋_GB2312" w:eastAsia="仿宋_GB2312" w:cs="仿宋_GB2312"/>
                <w:color w:val="000000"/>
                <w:sz w:val="24"/>
                <w:highlight w:val="none"/>
                <w:lang w:bidi="ar"/>
              </w:rPr>
              <w:t>农学</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645F7B5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玉林市农业科学院</w:t>
            </w:r>
          </w:p>
        </w:tc>
        <w:tc>
          <w:tcPr>
            <w:tcW w:w="1597" w:type="pct"/>
            <w:tcBorders>
              <w:top w:val="single" w:color="auto" w:sz="4" w:space="0"/>
              <w:left w:val="single" w:color="auto" w:sz="4" w:space="0"/>
              <w:bottom w:val="single" w:color="auto" w:sz="4" w:space="0"/>
              <w:right w:val="single" w:color="auto" w:sz="4" w:space="0"/>
            </w:tcBorders>
            <w:noWrap w:val="0"/>
            <w:vAlign w:val="top"/>
          </w:tcPr>
          <w:p w14:paraId="3A30C36B">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对标准实施情况进行总结分析，不断对标准提出修正意见。</w:t>
            </w:r>
          </w:p>
        </w:tc>
      </w:tr>
      <w:tr w14:paraId="50400997">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2EA9B22C">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谢宏昭</w:t>
            </w:r>
          </w:p>
        </w:tc>
        <w:tc>
          <w:tcPr>
            <w:tcW w:w="865" w:type="pct"/>
            <w:tcBorders>
              <w:top w:val="single" w:color="000000" w:sz="2" w:space="0"/>
              <w:left w:val="single" w:color="auto" w:sz="4" w:space="0"/>
              <w:bottom w:val="single" w:color="000000" w:sz="2" w:space="0"/>
              <w:right w:val="single" w:color="auto" w:sz="4" w:space="0"/>
            </w:tcBorders>
            <w:noWrap w:val="0"/>
            <w:vAlign w:val="center"/>
          </w:tcPr>
          <w:p w14:paraId="6F65168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正高级工程师</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5AA326F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eastAsia="zh-CN" w:bidi="ar"/>
              </w:rPr>
            </w:pPr>
            <w:r>
              <w:rPr>
                <w:rFonts w:hint="eastAsia" w:ascii="仿宋_GB2312" w:hAnsi="仿宋_GB2312" w:cs="仿宋_GB2312"/>
                <w:color w:val="000000"/>
                <w:sz w:val="24"/>
                <w:highlight w:val="none"/>
                <w:lang w:eastAsia="zh-CN" w:bidi="ar"/>
              </w:rPr>
              <w:t>标准化</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158B5F3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广西标准化协会</w:t>
            </w:r>
          </w:p>
        </w:tc>
        <w:tc>
          <w:tcPr>
            <w:tcW w:w="1597" w:type="pct"/>
            <w:tcBorders>
              <w:top w:val="single" w:color="auto" w:sz="4" w:space="0"/>
              <w:left w:val="single" w:color="auto" w:sz="4" w:space="0"/>
              <w:bottom w:val="single" w:color="auto" w:sz="4" w:space="0"/>
              <w:right w:val="single" w:color="auto" w:sz="4" w:space="0"/>
            </w:tcBorders>
            <w:noWrap w:val="0"/>
            <w:vAlign w:val="top"/>
          </w:tcPr>
          <w:p w14:paraId="27A156FA">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对标准实施情况进行总结分析，不断对标准提出修正意见。</w:t>
            </w:r>
          </w:p>
        </w:tc>
      </w:tr>
      <w:tr w14:paraId="47C77242">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4A7B1198">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熊壮</w:t>
            </w:r>
          </w:p>
        </w:tc>
        <w:tc>
          <w:tcPr>
            <w:tcW w:w="865" w:type="pct"/>
            <w:tcBorders>
              <w:top w:val="single" w:color="000000" w:sz="2" w:space="0"/>
              <w:left w:val="single" w:color="auto" w:sz="4" w:space="0"/>
              <w:bottom w:val="single" w:color="000000" w:sz="2" w:space="0"/>
              <w:right w:val="single" w:color="auto" w:sz="4" w:space="0"/>
            </w:tcBorders>
            <w:noWrap w:val="0"/>
            <w:vAlign w:val="center"/>
          </w:tcPr>
          <w:p w14:paraId="47018BF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副研究员</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093B4A8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作物栽培学与耕作学</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40AB6FB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广西壮族自治区中国科学院广西植物研究所</w:t>
            </w:r>
          </w:p>
        </w:tc>
        <w:tc>
          <w:tcPr>
            <w:tcW w:w="1597" w:type="pct"/>
            <w:tcBorders>
              <w:top w:val="single" w:color="auto" w:sz="4" w:space="0"/>
              <w:left w:val="single" w:color="auto" w:sz="4" w:space="0"/>
              <w:bottom w:val="single" w:color="auto" w:sz="4" w:space="0"/>
              <w:right w:val="single" w:color="auto" w:sz="4" w:space="0"/>
            </w:tcBorders>
            <w:noWrap w:val="0"/>
            <w:vAlign w:val="top"/>
          </w:tcPr>
          <w:p w14:paraId="65D6927B">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对标准实施情况进行总结分析，不断对标准提出修正意见。</w:t>
            </w:r>
          </w:p>
        </w:tc>
      </w:tr>
      <w:tr w14:paraId="7C952F75">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1574A6D7">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李小勇</w:t>
            </w:r>
          </w:p>
        </w:tc>
        <w:tc>
          <w:tcPr>
            <w:tcW w:w="865" w:type="pct"/>
            <w:tcBorders>
              <w:top w:val="single" w:color="000000" w:sz="2" w:space="0"/>
              <w:left w:val="single" w:color="auto" w:sz="4" w:space="0"/>
              <w:bottom w:val="single" w:color="000000" w:sz="2" w:space="0"/>
              <w:right w:val="single" w:color="auto" w:sz="4" w:space="0"/>
            </w:tcBorders>
            <w:noWrap w:val="0"/>
            <w:vAlign w:val="center"/>
          </w:tcPr>
          <w:p w14:paraId="2DB3953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副教授</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0703AA1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作物栽培学与耕作学</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0E7136A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贺州学院</w:t>
            </w:r>
          </w:p>
        </w:tc>
        <w:tc>
          <w:tcPr>
            <w:tcW w:w="1597" w:type="pct"/>
            <w:tcBorders>
              <w:top w:val="single" w:color="auto" w:sz="4" w:space="0"/>
              <w:left w:val="single" w:color="auto" w:sz="4" w:space="0"/>
              <w:bottom w:val="single" w:color="auto" w:sz="4" w:space="0"/>
              <w:right w:val="single" w:color="auto" w:sz="4" w:space="0"/>
            </w:tcBorders>
            <w:noWrap w:val="0"/>
            <w:vAlign w:val="top"/>
          </w:tcPr>
          <w:p w14:paraId="26BCB2AC">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对标准实施情况进行总结分析，不断对标准提出修正意见。</w:t>
            </w:r>
          </w:p>
        </w:tc>
      </w:tr>
      <w:tr w14:paraId="210EC495">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0B9CF8DD">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罗庆益</w:t>
            </w:r>
          </w:p>
        </w:tc>
        <w:tc>
          <w:tcPr>
            <w:tcW w:w="865" w:type="pct"/>
            <w:tcBorders>
              <w:top w:val="single" w:color="000000" w:sz="2" w:space="0"/>
              <w:left w:val="single" w:color="auto" w:sz="4" w:space="0"/>
              <w:bottom w:val="single" w:color="000000" w:sz="2" w:space="0"/>
              <w:right w:val="single" w:color="auto" w:sz="4" w:space="0"/>
            </w:tcBorders>
            <w:noWrap w:val="0"/>
            <w:vAlign w:val="center"/>
          </w:tcPr>
          <w:p w14:paraId="7B80FE3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总经理</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103B893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水稻种植</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00AF539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广西香米种业有限公司</w:t>
            </w:r>
          </w:p>
        </w:tc>
        <w:tc>
          <w:tcPr>
            <w:tcW w:w="1597" w:type="pct"/>
            <w:tcBorders>
              <w:top w:val="single" w:color="auto" w:sz="4" w:space="0"/>
              <w:left w:val="single" w:color="auto" w:sz="4" w:space="0"/>
              <w:bottom w:val="single" w:color="auto" w:sz="4" w:space="0"/>
              <w:right w:val="single" w:color="auto" w:sz="4" w:space="0"/>
            </w:tcBorders>
            <w:noWrap w:val="0"/>
            <w:vAlign w:val="top"/>
          </w:tcPr>
          <w:p w14:paraId="1B656BC3">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对标准实施情况进行总结分析，不断对标准提出修正意见。</w:t>
            </w:r>
          </w:p>
        </w:tc>
      </w:tr>
      <w:tr w14:paraId="1CB615A8">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715B26C8">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张军</w:t>
            </w:r>
          </w:p>
        </w:tc>
        <w:tc>
          <w:tcPr>
            <w:tcW w:w="865" w:type="pct"/>
            <w:tcBorders>
              <w:top w:val="single" w:color="000000" w:sz="2" w:space="0"/>
              <w:left w:val="single" w:color="auto" w:sz="4" w:space="0"/>
              <w:bottom w:val="single" w:color="000000" w:sz="2" w:space="0"/>
              <w:right w:val="single" w:color="auto" w:sz="4" w:space="0"/>
            </w:tcBorders>
            <w:noWrap w:val="0"/>
            <w:vAlign w:val="center"/>
          </w:tcPr>
          <w:p w14:paraId="5006F0A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总经理</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53F2992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水稻种植</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738C7BE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北流市大里镇新红水稻种植专业合作社</w:t>
            </w:r>
          </w:p>
        </w:tc>
        <w:tc>
          <w:tcPr>
            <w:tcW w:w="1597" w:type="pct"/>
            <w:tcBorders>
              <w:top w:val="single" w:color="auto" w:sz="4" w:space="0"/>
              <w:left w:val="single" w:color="auto" w:sz="4" w:space="0"/>
              <w:bottom w:val="single" w:color="auto" w:sz="4" w:space="0"/>
              <w:right w:val="single" w:color="auto" w:sz="4" w:space="0"/>
            </w:tcBorders>
            <w:noWrap w:val="0"/>
            <w:vAlign w:val="top"/>
          </w:tcPr>
          <w:p w14:paraId="63574FF8">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对标准实施情况进行总结分析，不断对标准提出修正意见。</w:t>
            </w:r>
          </w:p>
        </w:tc>
      </w:tr>
      <w:tr w14:paraId="13E043E8">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1BA105AB">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周兰</w:t>
            </w:r>
          </w:p>
        </w:tc>
        <w:tc>
          <w:tcPr>
            <w:tcW w:w="865" w:type="pct"/>
            <w:tcBorders>
              <w:top w:val="single" w:color="000000" w:sz="2" w:space="0"/>
              <w:left w:val="single" w:color="auto" w:sz="4" w:space="0"/>
              <w:bottom w:val="single" w:color="000000" w:sz="2" w:space="0"/>
              <w:right w:val="single" w:color="auto" w:sz="4" w:space="0"/>
            </w:tcBorders>
            <w:noWrap w:val="0"/>
            <w:vAlign w:val="center"/>
          </w:tcPr>
          <w:p w14:paraId="3DFD14A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助理教授</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5257E45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作物</w:t>
            </w:r>
            <w:r>
              <w:rPr>
                <w:rFonts w:ascii="仿宋_GB2312" w:hAnsi="仿宋_GB2312" w:eastAsia="仿宋_GB2312" w:cs="仿宋_GB2312"/>
                <w:color w:val="000000"/>
                <w:sz w:val="24"/>
                <w:highlight w:val="none"/>
                <w:lang w:bidi="ar"/>
              </w:rPr>
              <w:t>遗传育种</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28FE225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广西农业职业技术大学</w:t>
            </w:r>
          </w:p>
        </w:tc>
        <w:tc>
          <w:tcPr>
            <w:tcW w:w="1597" w:type="pct"/>
            <w:tcBorders>
              <w:top w:val="single" w:color="auto" w:sz="4" w:space="0"/>
              <w:left w:val="single" w:color="auto" w:sz="4" w:space="0"/>
              <w:bottom w:val="single" w:color="auto" w:sz="4" w:space="0"/>
              <w:right w:val="single" w:color="auto" w:sz="4" w:space="0"/>
            </w:tcBorders>
            <w:noWrap w:val="0"/>
            <w:vAlign w:val="top"/>
          </w:tcPr>
          <w:p w14:paraId="75B3EBDF">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对标准实施情况进行总结分析，不断对标准提出修正意见。</w:t>
            </w:r>
          </w:p>
        </w:tc>
      </w:tr>
      <w:tr w14:paraId="02DEE80E">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3560CD74">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陈荣华</w:t>
            </w:r>
          </w:p>
        </w:tc>
        <w:tc>
          <w:tcPr>
            <w:tcW w:w="865" w:type="pct"/>
            <w:tcBorders>
              <w:top w:val="single" w:color="000000" w:sz="2" w:space="0"/>
              <w:left w:val="single" w:color="auto" w:sz="4" w:space="0"/>
              <w:bottom w:val="single" w:color="000000" w:sz="2" w:space="0"/>
              <w:right w:val="single" w:color="auto" w:sz="4" w:space="0"/>
            </w:tcBorders>
            <w:noWrap w:val="0"/>
            <w:vAlign w:val="center"/>
          </w:tcPr>
          <w:p w14:paraId="2D53701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副教授</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7B8E1CD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农药学</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57E60C4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广西大学</w:t>
            </w:r>
          </w:p>
        </w:tc>
        <w:tc>
          <w:tcPr>
            <w:tcW w:w="1597" w:type="pct"/>
            <w:tcBorders>
              <w:top w:val="single" w:color="auto" w:sz="4" w:space="0"/>
              <w:left w:val="single" w:color="auto" w:sz="4" w:space="0"/>
              <w:bottom w:val="single" w:color="auto" w:sz="4" w:space="0"/>
              <w:right w:val="single" w:color="auto" w:sz="4" w:space="0"/>
            </w:tcBorders>
            <w:noWrap w:val="0"/>
            <w:vAlign w:val="top"/>
          </w:tcPr>
          <w:p w14:paraId="5C979FA0">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对标准实施情况进行总结分析，不断对标准提出修正意见。</w:t>
            </w:r>
          </w:p>
        </w:tc>
      </w:tr>
      <w:tr w14:paraId="0F393578">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07FBE9F3">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黄奕洲</w:t>
            </w:r>
          </w:p>
        </w:tc>
        <w:tc>
          <w:tcPr>
            <w:tcW w:w="865" w:type="pct"/>
            <w:tcBorders>
              <w:top w:val="single" w:color="000000" w:sz="2" w:space="0"/>
              <w:left w:val="single" w:color="auto" w:sz="4" w:space="0"/>
              <w:bottom w:val="single" w:color="000000" w:sz="2" w:space="0"/>
              <w:right w:val="single" w:color="auto" w:sz="4" w:space="0"/>
            </w:tcBorders>
            <w:noWrap w:val="0"/>
            <w:vAlign w:val="center"/>
          </w:tcPr>
          <w:p w14:paraId="21FE17D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秘书长</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77904BA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农学</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5E875FE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广西作物学会</w:t>
            </w:r>
          </w:p>
        </w:tc>
        <w:tc>
          <w:tcPr>
            <w:tcW w:w="1597" w:type="pct"/>
            <w:tcBorders>
              <w:top w:val="single" w:color="auto" w:sz="4" w:space="0"/>
              <w:left w:val="single" w:color="auto" w:sz="4" w:space="0"/>
              <w:bottom w:val="single" w:color="auto" w:sz="4" w:space="0"/>
              <w:right w:val="single" w:color="auto" w:sz="4" w:space="0"/>
            </w:tcBorders>
            <w:noWrap w:val="0"/>
            <w:vAlign w:val="top"/>
          </w:tcPr>
          <w:p w14:paraId="38C18F57">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对标准实施情况进行总结分析，不断对标准提出修正意见。</w:t>
            </w:r>
          </w:p>
        </w:tc>
      </w:tr>
      <w:tr w14:paraId="53371568">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0619458F">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何团</w:t>
            </w:r>
          </w:p>
        </w:tc>
        <w:tc>
          <w:tcPr>
            <w:tcW w:w="865" w:type="pct"/>
            <w:tcBorders>
              <w:top w:val="single" w:color="000000" w:sz="2" w:space="0"/>
              <w:left w:val="single" w:color="auto" w:sz="4" w:space="0"/>
              <w:bottom w:val="single" w:color="000000" w:sz="2" w:space="0"/>
              <w:right w:val="single" w:color="auto" w:sz="4" w:space="0"/>
            </w:tcBorders>
            <w:noWrap w:val="0"/>
            <w:vAlign w:val="center"/>
          </w:tcPr>
          <w:p w14:paraId="5960075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监事</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254959A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农学</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1AA8EBD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广西作物学会</w:t>
            </w:r>
          </w:p>
        </w:tc>
        <w:tc>
          <w:tcPr>
            <w:tcW w:w="1597" w:type="pct"/>
            <w:tcBorders>
              <w:top w:val="single" w:color="auto" w:sz="4" w:space="0"/>
              <w:left w:val="single" w:color="auto" w:sz="4" w:space="0"/>
              <w:bottom w:val="single" w:color="auto" w:sz="4" w:space="0"/>
              <w:right w:val="single" w:color="auto" w:sz="4" w:space="0"/>
            </w:tcBorders>
            <w:noWrap w:val="0"/>
            <w:vAlign w:val="top"/>
          </w:tcPr>
          <w:p w14:paraId="536B77FB">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对标准实施情况进行总结分析，不断对标准提出修正意见。</w:t>
            </w:r>
          </w:p>
        </w:tc>
      </w:tr>
      <w:tr w14:paraId="5B7BEB88">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1DD3D6F7">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郑浩</w:t>
            </w:r>
          </w:p>
        </w:tc>
        <w:tc>
          <w:tcPr>
            <w:tcW w:w="865" w:type="pct"/>
            <w:tcBorders>
              <w:top w:val="single" w:color="000000" w:sz="2" w:space="0"/>
              <w:left w:val="single" w:color="auto" w:sz="4" w:space="0"/>
              <w:bottom w:val="single" w:color="000000" w:sz="2" w:space="0"/>
              <w:right w:val="single" w:color="auto" w:sz="4" w:space="0"/>
            </w:tcBorders>
            <w:noWrap w:val="0"/>
            <w:vAlign w:val="center"/>
          </w:tcPr>
          <w:p w14:paraId="6131B2D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理事</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7B39869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农学</w:t>
            </w:r>
          </w:p>
        </w:tc>
        <w:tc>
          <w:tcPr>
            <w:tcW w:w="1001" w:type="pct"/>
            <w:tcBorders>
              <w:top w:val="single" w:color="000000" w:sz="2" w:space="0"/>
              <w:left w:val="single" w:color="auto" w:sz="4" w:space="0"/>
              <w:bottom w:val="single" w:color="000000" w:sz="2" w:space="0"/>
              <w:right w:val="single" w:color="auto" w:sz="4" w:space="0"/>
            </w:tcBorders>
            <w:noWrap w:val="0"/>
            <w:vAlign w:val="center"/>
          </w:tcPr>
          <w:p w14:paraId="612C52E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广西作物学会</w:t>
            </w:r>
          </w:p>
        </w:tc>
        <w:tc>
          <w:tcPr>
            <w:tcW w:w="1597" w:type="pct"/>
            <w:tcBorders>
              <w:top w:val="single" w:color="auto" w:sz="4" w:space="0"/>
              <w:left w:val="single" w:color="auto" w:sz="4" w:space="0"/>
              <w:bottom w:val="single" w:color="auto" w:sz="4" w:space="0"/>
              <w:right w:val="single" w:color="auto" w:sz="4" w:space="0"/>
            </w:tcBorders>
            <w:noWrap w:val="0"/>
            <w:vAlign w:val="top"/>
          </w:tcPr>
          <w:p w14:paraId="47A3A3A1">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对标准实施情况进行总结分析，不断对标准提出修正意见。</w:t>
            </w:r>
          </w:p>
        </w:tc>
      </w:tr>
      <w:tr w14:paraId="450C5367">
        <w:tblPrEx>
          <w:tblCellMar>
            <w:top w:w="0" w:type="dxa"/>
            <w:left w:w="108" w:type="dxa"/>
            <w:bottom w:w="0" w:type="dxa"/>
            <w:right w:w="108" w:type="dxa"/>
          </w:tblCellMar>
        </w:tblPrEx>
        <w:trPr>
          <w:cantSplit/>
          <w:trHeight w:val="732" w:hRule="atLeast"/>
        </w:trPr>
        <w:tc>
          <w:tcPr>
            <w:tcW w:w="536" w:type="pct"/>
            <w:tcBorders>
              <w:top w:val="single" w:color="auto" w:sz="4" w:space="0"/>
              <w:left w:val="single" w:color="auto" w:sz="4" w:space="0"/>
              <w:bottom w:val="single" w:color="auto" w:sz="4" w:space="0"/>
              <w:right w:val="single" w:color="008000" w:sz="4" w:space="0"/>
            </w:tcBorders>
            <w:noWrap w:val="0"/>
            <w:vAlign w:val="center"/>
          </w:tcPr>
          <w:p w14:paraId="0F16F085">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苏俊裕</w:t>
            </w:r>
          </w:p>
        </w:tc>
        <w:tc>
          <w:tcPr>
            <w:tcW w:w="865" w:type="pct"/>
            <w:tcBorders>
              <w:top w:val="single" w:color="000000" w:sz="2" w:space="0"/>
              <w:left w:val="single" w:color="auto" w:sz="4" w:space="0"/>
              <w:bottom w:val="single" w:color="auto" w:sz="4" w:space="0"/>
              <w:right w:val="single" w:color="auto" w:sz="4" w:space="0"/>
            </w:tcBorders>
            <w:noWrap w:val="0"/>
            <w:vAlign w:val="center"/>
          </w:tcPr>
          <w:p w14:paraId="0E4773C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总经理</w:t>
            </w:r>
          </w:p>
        </w:tc>
        <w:tc>
          <w:tcPr>
            <w:tcW w:w="1001" w:type="pct"/>
            <w:tcBorders>
              <w:top w:val="single" w:color="000000" w:sz="2" w:space="0"/>
              <w:left w:val="single" w:color="auto" w:sz="4" w:space="0"/>
              <w:bottom w:val="single" w:color="auto" w:sz="4" w:space="0"/>
              <w:right w:val="single" w:color="auto" w:sz="4" w:space="0"/>
            </w:tcBorders>
            <w:noWrap w:val="0"/>
            <w:vAlign w:val="center"/>
          </w:tcPr>
          <w:p w14:paraId="3D7DAA4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水稻种植</w:t>
            </w:r>
          </w:p>
        </w:tc>
        <w:tc>
          <w:tcPr>
            <w:tcW w:w="1001" w:type="pct"/>
            <w:tcBorders>
              <w:top w:val="single" w:color="000000" w:sz="2" w:space="0"/>
              <w:left w:val="single" w:color="auto" w:sz="4" w:space="0"/>
              <w:bottom w:val="single" w:color="auto" w:sz="4" w:space="0"/>
              <w:right w:val="single" w:color="auto" w:sz="4" w:space="0"/>
            </w:tcBorders>
            <w:noWrap w:val="0"/>
            <w:vAlign w:val="center"/>
          </w:tcPr>
          <w:p w14:paraId="0C4F9CD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横县裕丰水稻种植家庭农场</w:t>
            </w:r>
          </w:p>
        </w:tc>
        <w:tc>
          <w:tcPr>
            <w:tcW w:w="1597" w:type="pct"/>
            <w:tcBorders>
              <w:top w:val="single" w:color="auto" w:sz="4" w:space="0"/>
              <w:left w:val="single" w:color="auto" w:sz="4" w:space="0"/>
              <w:bottom w:val="single" w:color="auto" w:sz="4" w:space="0"/>
              <w:right w:val="single" w:color="auto" w:sz="4" w:space="0"/>
            </w:tcBorders>
            <w:noWrap w:val="0"/>
            <w:vAlign w:val="top"/>
          </w:tcPr>
          <w:p w14:paraId="67AC0497">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仿宋_GB2312" w:hAnsi="仿宋_GB2312" w:eastAsia="仿宋_GB2312" w:cs="仿宋_GB2312"/>
                <w:color w:val="000000"/>
                <w:sz w:val="24"/>
                <w:highlight w:val="none"/>
                <w:lang w:bidi="ar"/>
              </w:rPr>
            </w:pPr>
            <w:r>
              <w:rPr>
                <w:rFonts w:hint="eastAsia" w:ascii="仿宋_GB2312" w:hAnsi="仿宋_GB2312" w:eastAsia="仿宋_GB2312" w:cs="仿宋_GB2312"/>
                <w:color w:val="000000"/>
                <w:sz w:val="24"/>
                <w:highlight w:val="none"/>
                <w:lang w:bidi="ar"/>
              </w:rPr>
              <w:t>对标准实施情况进行总结分析，不断对标准提出修正意见。</w:t>
            </w:r>
          </w:p>
        </w:tc>
      </w:tr>
    </w:tbl>
    <w:p w14:paraId="31906E54">
      <w:pPr>
        <w:autoSpaceDE w:val="0"/>
        <w:autoSpaceDN w:val="0"/>
        <w:adjustRightInd w:val="0"/>
        <w:spacing w:line="560" w:lineRule="exact"/>
        <w:ind w:firstLine="640"/>
        <w:jc w:val="left"/>
        <w:rPr>
          <w:rFonts w:ascii="黑体" w:hAnsi="黑体" w:eastAsia="黑体" w:cs="仿宋_GB2312"/>
          <w:color w:val="000000" w:themeColor="text1"/>
          <w:szCs w:val="32"/>
          <w14:textFill>
            <w14:solidFill>
              <w14:schemeClr w14:val="tx1"/>
            </w14:solidFill>
          </w14:textFill>
        </w:rPr>
      </w:pPr>
      <w:r>
        <w:rPr>
          <w:rFonts w:hint="eastAsia" w:ascii="黑体" w:hAnsi="黑体" w:eastAsia="黑体" w:cs="仿宋_GB2312"/>
          <w:color w:val="000000" w:themeColor="text1"/>
          <w:szCs w:val="32"/>
          <w14:textFill>
            <w14:solidFill>
              <w14:schemeClr w14:val="tx1"/>
            </w14:solidFill>
          </w14:textFill>
        </w:rPr>
        <w:t>二、制定标准的必要性和意义</w:t>
      </w:r>
    </w:p>
    <w:p w14:paraId="67A044D9">
      <w:pPr>
        <w:autoSpaceDE w:val="0"/>
        <w:autoSpaceDN w:val="0"/>
        <w:adjustRightInd w:val="0"/>
        <w:spacing w:line="560" w:lineRule="exact"/>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水稻是我国超60％人口的主食，保障其稳定生产是粮食安全的核心任务。当前我国水稻耕种收综合机械化率虽已较高，但机播种率长期偏低，2020年时仅达50％，且部分地区如2019年广东水稻机种率仅21.3％，成为制约全程机械化的瓶颈。随着城市化推进，稻谷劳动力生产成本在2000-2016年间上涨近12.32倍，传统人工播种和粗放机械播种已难以满足规模化生产需求。目前国内三一重工、山东时风等本土企业的水稻原位智能播种机已逐步推广，2025年三一重工SG系列机型播种均匀性达98.6％，但市场上不同品牌设备的技术参数、作业模式差异较大。部分农户使用设备时，因缺乏统一规范，存在播种深度不一致、变量播种参数混乱等问题，导致播种精度下降，甚至出现缺苗断垄情况。同时，智能设备集成北斗导航、土壤传感等模块，农户操作水平不一易造成设备性能浪费。传统播种方式种子利用率仅65％，且人工、化肥成本居高不下。而水稻原位智能播种机的精准作业可减少资源浪费。</w:t>
      </w:r>
    </w:p>
    <w:p w14:paraId="165FF026">
      <w:pPr>
        <w:autoSpaceDE w:val="0"/>
        <w:autoSpaceDN w:val="0"/>
        <w:adjustRightInd w:val="0"/>
        <w:spacing w:line="560" w:lineRule="exact"/>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同时，国家陆续出台《数字乡村发展战略纲要》《农业物联网发展行动计划》等政策，鼓励智能农业装备研发应用，农业农村部也明确要求加快补齐水稻机种短板。该团体标准的制定，恰好呼应了国家精准农业、智慧农业的发展方向，能推动政策落地执行。从市场来看，2024年国内智能播种设备市场规模达70亿元，2025年预计突破90亿元，规模化农场和小型农户对高效播种技术需求迫切。标准可规范市场秩序，避免劣质设备和不规范作业扰乱市场，引导企业聚焦技术优化而非恶性竞争，同时为农机购置补贴、项目验收等提供参考依据，促进水稻种植产业向现代化、数字化转型。当下农业生产中水资源浪费、化肥过量使用等问题突出，而水稻原位智能播种机可通过土壤墒情监测，动态调整播种和水肥配套方案。但无标准约束时，部分作业为追求短期产量，仍可能存在过量用种、施肥的情况。智能播种技术虽优势显著，能使作物产量平均提高15％-20％，农药化肥使用量减少30％以上，但当前推广中面临技术分散、农户接受度不均的问题。在偏远地区，农户因担心操作复杂、维护困难，对智能播种机接受度较低。</w:t>
      </w:r>
    </w:p>
    <w:p w14:paraId="213C45F8">
      <w:pPr>
        <w:autoSpaceDE w:val="0"/>
        <w:autoSpaceDN w:val="0"/>
        <w:adjustRightInd w:val="0"/>
        <w:spacing w:line="560" w:lineRule="exact"/>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水稻原位智能播种机是一个高度集成的“移动智能工厂”——直接以脚下大田的浆泥为“原料”，在行进中一气呵成地完成放盘、上浆、除杂、施肥、灌浆、播种等全套工序，并能根据指令精准调节用肥量与播种参数。水稻原位播种机在田间播种有如下特点：1、播种机使用方便：可根据用户需要直接开到秧田里进行播种，播种后的育秧按常规秧苗管理直到插秧不需特别护理。2、自动化程度高：播种机集放盘、施壮秧剂、上浆泥、播种于一体，一次完成播种所需的全部工序。3、定量均匀播种：可按用户的要求调节播种量，所播种种子均匀度优于人工播种。4、用工少、播种速度快：整个机5～6个人共同作业，每分钟可完成30块左右秧盘的播种，一天可完成500亩左右大田的用秧播种，是人工作业的几十倍。5、取材于田、安全环保：该播种机使用田间浆泥加壮秧剂育秧，用完后又回到田中，对田中土壤没有的破坏和污染。育秧时使用的秧盘和薄膜可多次使用且能回收利用。在大自然光温条件，结合现代育秧技术育出的秧苗素好。该生产技术的推广应用能有效的提高水稻生产的机械化水平，降低水稻生产成本，从而增加水稻种植效益，提高种粮收入。这场看似微小的技术革新，实则是从理念到实践对传统播种方式的一次系统性超越。自研发成功后在全国6个省市约100万亩大田不同粒重的种子播种育秧示范，都能按要设定的标准完成，该机适合于全球水稻产区的需要播种育秧的地区使用。</w:t>
      </w:r>
    </w:p>
    <w:p w14:paraId="11CBB679">
      <w:pPr>
        <w:autoSpaceDE w:val="0"/>
        <w:autoSpaceDN w:val="0"/>
        <w:adjustRightInd w:val="0"/>
        <w:spacing w:line="560" w:lineRule="exact"/>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水稻原位浆泥智能播种育秧技术的特点在于，原位智能播种机就地取材，同步构建，原位生长的全新农学理念。机器直接抽取并净化大田泥浆作为育种基质，随行随播，种子从萌发之初便完全适应未来生长的真实土壤环境、微生物群落与水肥条件。秧苗的根系从第一刻起就与未来生存的土壤紧密交织，实现了“零缓苗”的平滑生长过渡。这不仅是对作物生理学规律的深度尊重，更是将农业生产从“对抗与干预”转向“顺应与共生”的哲学转变。传统播种作业链是断裂而繁琐的：育苗基质需异地调配与运输（常采用客土、营养土等），育秧盘需预先准备，播种、施肥等工序多由不同机械分次完成，环节间的衔接消耗大量人力、物力和时间成本，且每个环节都会引入新的误差与变异。智能播种机通过系统性集成，实现了“一体化流程再造”。其核心优势体现在三个维度的“合一”：1.基质合一： 直接使用大田浆泥，经机载系统动态除杂（滤除石子、残茬等）、消毒与肥力调节，瞬间转化为高品质育苗基质。这省去了基质外购、运输、储存的全程成本，更杜绝了外来基质可能携带的病虫害与杂草风险，实现了资源的100％原位循环。2.工序合一： 放盘、上浆、施肥、播种、覆土等所有工序在机器一次性行走中连续、自动完成。流程的极致压缩，将传统模式下数天甚至数周的作业周期缩短为数小时，极大提高了农时保障能力，尤其在应对气候变化带来的短暂适宜窗口期时，优势无可比拟。3.管控合一： 基于精准传感与智能控制算法，机器能根据处方图或实时检测数据，对每一个播种单元（乃至每一穴）的施肥量、播种密度、播种深度进行独立、可变的精细调控。这意味着秧田管理从传统的“地块均一”模式，迈入了“厘米级变量农作”时代，为水稻的均匀生长与最大化产量潜力奠定了技术基础。水稻原位智能播种机，并非对传统播种机简单的功能叠加或效率提升。它是一次从农学理念、技术路径到生产模式的系统性颠覆。它让水稻播种回归“脚踏实地”的本源智慧，用智能化的方式重建了种子、幼苗与大地之间最直接、最健康的生命连接。这台在泥水中自由行走的“移动智能工厂”，播撒的不仅是稻种，更是中国农业面向未来——迈向资源节约、环境友好、产出高效、管理智慧的新质生产力的坚实希望。它预示着，农业生产的下一场革命，或许正始于对脚下泥土最深度的理解与最智能的运用。</w:t>
      </w:r>
    </w:p>
    <w:p w14:paraId="0C1CC160">
      <w:pPr>
        <w:autoSpaceDE w:val="0"/>
        <w:autoSpaceDN w:val="0"/>
        <w:adjustRightInd w:val="0"/>
        <w:spacing w:line="560" w:lineRule="exact"/>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通过制定团体标准《水稻原位浆泥智能播种育秧技术规程》，可将分散的原位智能播种技术整合为可复制、可推广的标准化模式，对规范水稻种植的全过程，提升农产品品质，为打造区域农业品牌、实现农业高质高效发展提供技术支撑，助力乡村振兴具有重要意义。</w:t>
      </w:r>
    </w:p>
    <w:p w14:paraId="006E9A70">
      <w:pPr>
        <w:autoSpaceDE w:val="0"/>
        <w:autoSpaceDN w:val="0"/>
        <w:adjustRightInd w:val="0"/>
        <w:spacing w:line="560" w:lineRule="exact"/>
        <w:ind w:firstLine="640"/>
        <w:jc w:val="left"/>
        <w:rPr>
          <w:rFonts w:ascii="黑体" w:hAnsi="黑体" w:eastAsia="黑体" w:cs="仿宋_GB2312"/>
          <w:color w:val="000000" w:themeColor="text1"/>
          <w:szCs w:val="32"/>
          <w14:textFill>
            <w14:solidFill>
              <w14:schemeClr w14:val="tx1"/>
            </w14:solidFill>
          </w14:textFill>
        </w:rPr>
      </w:pPr>
      <w:r>
        <w:rPr>
          <w:rFonts w:hint="eastAsia" w:ascii="黑体" w:hAnsi="黑体" w:eastAsia="黑体" w:cs="仿宋_GB2312"/>
          <w:color w:val="000000" w:themeColor="text1"/>
          <w:szCs w:val="32"/>
          <w14:textFill>
            <w14:solidFill>
              <w14:schemeClr w14:val="tx1"/>
            </w14:solidFill>
          </w14:textFill>
        </w:rPr>
        <w:t>三、主要起草过程</w:t>
      </w:r>
    </w:p>
    <w:p w14:paraId="5AD8B653">
      <w:pPr>
        <w:spacing w:line="560" w:lineRule="exact"/>
        <w:ind w:firstLine="643"/>
        <w:rPr>
          <w:rFonts w:ascii="楷体" w:hAnsi="楷体" w:eastAsia="楷体"/>
          <w:color w:val="000000" w:themeColor="text1"/>
          <w:szCs w:val="28"/>
          <w14:textFill>
            <w14:solidFill>
              <w14:schemeClr w14:val="tx1"/>
            </w14:solidFill>
          </w14:textFill>
        </w:rPr>
      </w:pPr>
      <w:r>
        <w:rPr>
          <w:rFonts w:hint="eastAsia" w:ascii="楷体" w:hAnsi="楷体" w:eastAsia="楷体" w:cs="仿宋_GB2312"/>
          <w:b/>
          <w:color w:val="000000" w:themeColor="text1"/>
          <w:szCs w:val="28"/>
          <w14:textFill>
            <w14:solidFill>
              <w14:schemeClr w14:val="tx1"/>
            </w14:solidFill>
          </w14:textFill>
        </w:rPr>
        <w:t>（一）成立标准编制工作组</w:t>
      </w:r>
    </w:p>
    <w:p w14:paraId="7225A82B">
      <w:pPr>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团体标准《水稻原位浆泥智能播种育秧技术规程》项目任务下达后，广西大学成立了标准编制工作组，起草单位制定了起草编写方案与进度安排，明确任务职责，确定工作技术路线，开展标准研制工作。具体标准编制工作由广西大学、广西玉林市树锋农业机械科技有限公司、广西标准化协会、广西作物学会、玉林市农业科学院、北流市大里镇新红水稻种植专业合作社、华南农业大学、广西农业科学院水稻研究所、广西农业职业技术大学、贺州学院、横县裕丰水稻种植家庭农场、广西香米种业有限公司、广西优谷好粮农业科技有限公司等单位负责人组成的标准编制工作组完成。</w:t>
      </w:r>
    </w:p>
    <w:p w14:paraId="04943521">
      <w:pPr>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编制工作组下设三个组，分别是资料收集组、草案编写组、标准实施组。</w:t>
      </w:r>
    </w:p>
    <w:p w14:paraId="15047208">
      <w:pPr>
        <w:pStyle w:val="9"/>
        <w:widowControl/>
        <w:spacing w:before="0" w:beforeAutospacing="0" w:after="0" w:afterAutospacing="0"/>
        <w:ind w:firstLine="640"/>
        <w:rPr>
          <w:rFonts w:ascii="仿宋_GB2312" w:hAnsi="宋体"/>
          <w:color w:val="000000" w:themeColor="text1"/>
          <w:sz w:val="32"/>
          <w:szCs w:val="28"/>
          <w14:textFill>
            <w14:solidFill>
              <w14:schemeClr w14:val="tx1"/>
            </w14:solidFill>
          </w14:textFill>
        </w:rPr>
      </w:pPr>
      <w:r>
        <w:rPr>
          <w:rFonts w:hint="eastAsia" w:ascii="仿宋_GB2312" w:hAnsi="宋体"/>
          <w:color w:val="000000" w:themeColor="text1"/>
          <w:kern w:val="2"/>
          <w:sz w:val="32"/>
          <w:szCs w:val="28"/>
          <w14:textFill>
            <w14:solidFill>
              <w14:schemeClr w14:val="tx1"/>
            </w14:solidFill>
          </w14:textFill>
        </w:rPr>
        <w:t>资料收集组负责国内外有关水稻原位浆泥智能播种育秧技术的文献资料的</w:t>
      </w:r>
      <w:r>
        <w:rPr>
          <w:rFonts w:hint="eastAsia" w:ascii="仿宋_GB2312" w:hAnsi="宋体"/>
          <w:color w:val="000000" w:themeColor="text1"/>
          <w:sz w:val="32"/>
          <w:szCs w:val="28"/>
          <w14:textFill>
            <w14:solidFill>
              <w14:schemeClr w14:val="tx1"/>
            </w14:solidFill>
          </w14:textFill>
        </w:rPr>
        <w:t>查询、收集和整理工作，查阅前人对</w:t>
      </w:r>
      <w:r>
        <w:rPr>
          <w:rFonts w:hint="eastAsia" w:ascii="仿宋_GB2312" w:hAnsi="宋体"/>
          <w:color w:val="000000" w:themeColor="text1"/>
          <w:kern w:val="2"/>
          <w:sz w:val="32"/>
          <w:szCs w:val="28"/>
          <w14:textFill>
            <w14:solidFill>
              <w14:schemeClr w14:val="tx1"/>
            </w14:solidFill>
          </w14:textFill>
        </w:rPr>
        <w:t>水稻原位浆泥智能播种育秧技术</w:t>
      </w:r>
      <w:r>
        <w:rPr>
          <w:rFonts w:hint="eastAsia" w:ascii="仿宋_GB2312" w:hAnsi="宋体"/>
          <w:color w:val="000000" w:themeColor="text1"/>
          <w:sz w:val="32"/>
          <w:szCs w:val="28"/>
          <w14:textFill>
            <w14:solidFill>
              <w14:schemeClr w14:val="tx1"/>
            </w14:solidFill>
          </w14:textFill>
        </w:rPr>
        <w:t>的研究情况。</w:t>
      </w:r>
    </w:p>
    <w:p w14:paraId="094128FF">
      <w:pPr>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草案编写组负责起草标准草案、征求意见稿和标准编制说明、送审稿及编制说明的编写工作，包括后期召开征求意见会、网上征求意见，以及标准的不断修改和完善。</w:t>
      </w:r>
    </w:p>
    <w:p w14:paraId="14038085">
      <w:pPr>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标准实施组负责团体标准《水稻原位浆泥智能播种育秧技术规程》发布后，组织相关企事业单位开展标准宣贯培训会，对标准进行详细解读，让相关人员了解标准，并根据标准对水稻原位浆泥智能播种育秧技术进行规范化操作，并对标准实施情况进行总结分析，不断对团体标准提出修正意见。</w:t>
      </w:r>
    </w:p>
    <w:p w14:paraId="010DB76C">
      <w:pPr>
        <w:spacing w:line="560" w:lineRule="exact"/>
        <w:ind w:firstLine="643"/>
        <w:rPr>
          <w:rFonts w:ascii="楷体" w:hAnsi="楷体" w:eastAsia="楷体" w:cs="仿宋_GB2312"/>
          <w:b/>
          <w:color w:val="000000" w:themeColor="text1"/>
          <w:szCs w:val="28"/>
          <w14:textFill>
            <w14:solidFill>
              <w14:schemeClr w14:val="tx1"/>
            </w14:solidFill>
          </w14:textFill>
        </w:rPr>
      </w:pPr>
      <w:r>
        <w:rPr>
          <w:rFonts w:hint="eastAsia" w:ascii="楷体" w:hAnsi="楷体" w:eastAsia="楷体" w:cs="仿宋_GB2312"/>
          <w:b/>
          <w:color w:val="000000" w:themeColor="text1"/>
          <w:szCs w:val="28"/>
          <w14:textFill>
            <w14:solidFill>
              <w14:schemeClr w14:val="tx1"/>
            </w14:solidFill>
          </w14:textFill>
        </w:rPr>
        <w:t>（二）收集整理文献资料</w:t>
      </w:r>
    </w:p>
    <w:p w14:paraId="57AD4032">
      <w:pPr>
        <w:ind w:firstLine="640"/>
        <w:rPr>
          <w:rFonts w:ascii="仿宋_GB2312" w:hAnsi="宋体"/>
          <w:color w:val="000000" w:themeColor="text1"/>
          <w:szCs w:val="28"/>
          <w:lang w:val="fr-FR"/>
          <w14:textFill>
            <w14:solidFill>
              <w14:schemeClr w14:val="tx1"/>
            </w14:solidFill>
          </w14:textFill>
        </w:rPr>
      </w:pPr>
      <w:r>
        <w:rPr>
          <w:rFonts w:hint="eastAsia" w:ascii="仿宋_GB2312" w:hAnsi="宋体"/>
          <w:color w:val="000000" w:themeColor="text1"/>
          <w:szCs w:val="28"/>
          <w14:textFill>
            <w14:solidFill>
              <w14:schemeClr w14:val="tx1"/>
            </w14:solidFill>
          </w14:textFill>
        </w:rPr>
        <w:t>标准编制工作组收集了国内有关水稻原位浆泥智能播种育秧技术的相关资料。主要有</w:t>
      </w:r>
      <w:r>
        <w:rPr>
          <w:rFonts w:hint="eastAsia" w:ascii="仿宋_GB2312" w:hAnsi="宋体"/>
          <w:color w:val="000000" w:themeColor="text1"/>
          <w:szCs w:val="28"/>
          <w:lang w:val="fr-FR"/>
          <w14:textFill>
            <w14:solidFill>
              <w14:schemeClr w14:val="tx1"/>
            </w14:solidFill>
          </w14:textFill>
        </w:rPr>
        <w:t>：</w:t>
      </w:r>
    </w:p>
    <w:p w14:paraId="49A245A2">
      <w:pPr>
        <w:spacing w:line="560" w:lineRule="exact"/>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《NY/T 3658-2020  水稻全程机械化生产技术规范》</w:t>
      </w:r>
    </w:p>
    <w:p w14:paraId="7FF9CE4C">
      <w:pPr>
        <w:spacing w:line="560" w:lineRule="exact"/>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《JB/T 14867-2024  机插水稻种子精量播种流水线》</w:t>
      </w:r>
    </w:p>
    <w:p w14:paraId="1EAFEE9F">
      <w:pPr>
        <w:spacing w:line="560" w:lineRule="exact"/>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《DB21/T 2318-2015  水稻盘育秧机械化播种作业规程》</w:t>
      </w:r>
    </w:p>
    <w:p w14:paraId="5B655885">
      <w:pPr>
        <w:spacing w:line="560" w:lineRule="exact"/>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《DB21/T 4044-2024  水稻育秧播种供盘机作业技术规程》</w:t>
      </w:r>
    </w:p>
    <w:p w14:paraId="1864FA33">
      <w:pPr>
        <w:spacing w:line="560" w:lineRule="exact"/>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《DB23/T 2784-2021  三江平原水稻智能机械化生产技术规程》</w:t>
      </w:r>
    </w:p>
    <w:p w14:paraId="0EEC8292">
      <w:pPr>
        <w:spacing w:line="560" w:lineRule="exact"/>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《DB34/T 5092-2025  水稻机械化育插秧智能管理技术规范》</w:t>
      </w:r>
    </w:p>
    <w:p w14:paraId="69D0E104">
      <w:pPr>
        <w:spacing w:line="560" w:lineRule="exact"/>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《DB36/T 1798-2023  水稻机械化穴直播生产技术规程》</w:t>
      </w:r>
    </w:p>
    <w:p w14:paraId="18C79512">
      <w:pPr>
        <w:spacing w:line="560" w:lineRule="exact"/>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《DB42/T 632.2-2024  水稻机械直播栽培技术规程 第2部分：再生稻》</w:t>
      </w:r>
    </w:p>
    <w:p w14:paraId="392EF03C">
      <w:pPr>
        <w:spacing w:line="560" w:lineRule="exact"/>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《DB44/T 2435-2023  水稻全程机械化生产技术规程》</w:t>
      </w:r>
    </w:p>
    <w:p w14:paraId="772ED6EA">
      <w:pPr>
        <w:spacing w:line="560" w:lineRule="exact"/>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《DB45/T 1270-2015  水稻生产全程机械化技术规程》</w:t>
      </w:r>
    </w:p>
    <w:p w14:paraId="7A2130FD">
      <w:pPr>
        <w:spacing w:line="560" w:lineRule="exact"/>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《DB53/T 1418-2025  水稻全程机械化生产技术规程》</w:t>
      </w:r>
    </w:p>
    <w:p w14:paraId="7FD51E63">
      <w:pPr>
        <w:spacing w:line="560" w:lineRule="exact"/>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《DB2111/T 0024-2023  水稻机械旱直播栽培技术规程》</w:t>
      </w:r>
    </w:p>
    <w:p w14:paraId="679C88C4">
      <w:pPr>
        <w:spacing w:line="560" w:lineRule="exact"/>
        <w:ind w:firstLine="643"/>
        <w:rPr>
          <w:rFonts w:ascii="楷体" w:hAnsi="楷体" w:eastAsia="楷体" w:cs="仿宋_GB2312"/>
          <w:b/>
          <w:color w:val="000000" w:themeColor="text1"/>
          <w:szCs w:val="28"/>
          <w14:textFill>
            <w14:solidFill>
              <w14:schemeClr w14:val="tx1"/>
            </w14:solidFill>
          </w14:textFill>
        </w:rPr>
      </w:pPr>
      <w:r>
        <w:rPr>
          <w:rFonts w:hint="eastAsia" w:ascii="楷体" w:hAnsi="楷体" w:eastAsia="楷体" w:cs="仿宋_GB2312"/>
          <w:b/>
          <w:color w:val="000000" w:themeColor="text1"/>
          <w:szCs w:val="28"/>
          <w14:textFill>
            <w14:solidFill>
              <w14:schemeClr w14:val="tx1"/>
            </w14:solidFill>
          </w14:textFill>
        </w:rPr>
        <w:t>（三）研讨确定标准特色、创新点、主体内容</w:t>
      </w:r>
    </w:p>
    <w:p w14:paraId="2B1A43E6">
      <w:pPr>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1、特色和创新点</w:t>
      </w:r>
    </w:p>
    <w:p w14:paraId="4BFAD4B6">
      <w:pPr>
        <w:pStyle w:val="9"/>
        <w:widowControl/>
        <w:shd w:val="clear" w:color="auto" w:fill="FFFFFF"/>
        <w:spacing w:before="0" w:beforeAutospacing="0" w:after="0" w:afterAutospacing="0"/>
        <w:ind w:firstLine="640"/>
        <w:rPr>
          <w:rFonts w:ascii="仿宋_GB2312" w:hAnsi="宋体"/>
          <w:color w:val="000000" w:themeColor="text1"/>
          <w:kern w:val="2"/>
          <w:sz w:val="32"/>
          <w:szCs w:val="28"/>
          <w14:textFill>
            <w14:solidFill>
              <w14:schemeClr w14:val="tx1"/>
            </w14:solidFill>
          </w14:textFill>
        </w:rPr>
      </w:pPr>
      <w:r>
        <w:rPr>
          <w:rFonts w:ascii="仿宋_GB2312" w:hAnsi="宋体"/>
          <w:color w:val="000000" w:themeColor="text1"/>
          <w:kern w:val="2"/>
          <w:sz w:val="32"/>
          <w:szCs w:val="28"/>
          <w14:textFill>
            <w14:solidFill>
              <w14:schemeClr w14:val="tx1"/>
            </w14:solidFill>
          </w14:textFill>
        </w:rPr>
        <w:t>（1）</w:t>
      </w:r>
      <w:r>
        <w:rPr>
          <w:rFonts w:hint="eastAsia" w:ascii="仿宋_GB2312" w:hAnsi="宋体"/>
          <w:color w:val="000000" w:themeColor="text1"/>
          <w:kern w:val="2"/>
          <w:sz w:val="32"/>
          <w:szCs w:val="28"/>
          <w14:textFill>
            <w14:solidFill>
              <w14:schemeClr w14:val="tx1"/>
            </w14:solidFill>
          </w14:textFill>
        </w:rPr>
        <w:t>原位基质闭环循环技术：从“外购消耗”到“就地再生”。机器在田间行进时，通过特制泥浆泵和多重净化系统（振动筛、离心分离、气流分选），实时抽取水田泥浆并在线去除石子、残茬、杂草种子等杂物；净化后的泥浆瞬间重构为理化性状稳定、营养均衡的“智能育秧基质”。核心价值：彻底摆脱传统工厂化育秧对客土、营养土的依赖，实现基质“取之于田、用之于苗”的就地闭环循环。不仅省去基质采购、运输和预处理成本，还从源头杜绝了外来病原体与杂草种子侵入，真正做到了零运输、零成本、零生物安全风险。</w:t>
      </w:r>
    </w:p>
    <w:p w14:paraId="7370E197">
      <w:pPr>
        <w:pStyle w:val="9"/>
        <w:widowControl/>
        <w:shd w:val="clear" w:color="auto" w:fill="FFFFFF"/>
        <w:spacing w:before="0" w:beforeAutospacing="0" w:after="0" w:afterAutospacing="0"/>
        <w:ind w:firstLine="640"/>
        <w:rPr>
          <w:rFonts w:ascii="仿宋_GB2312" w:hAnsi="宋体"/>
          <w:color w:val="000000" w:themeColor="text1"/>
          <w:kern w:val="2"/>
          <w:sz w:val="32"/>
          <w:szCs w:val="28"/>
          <w14:textFill>
            <w14:solidFill>
              <w14:schemeClr w14:val="tx1"/>
            </w14:solidFill>
          </w14:textFill>
        </w:rPr>
      </w:pPr>
      <w:r>
        <w:rPr>
          <w:rFonts w:ascii="仿宋_GB2312" w:hAnsi="宋体"/>
          <w:color w:val="000000" w:themeColor="text1"/>
          <w:kern w:val="2"/>
          <w:sz w:val="32"/>
          <w:szCs w:val="28"/>
          <w14:textFill>
            <w14:solidFill>
              <w14:schemeClr w14:val="tx1"/>
            </w14:solidFill>
          </w14:textFill>
        </w:rPr>
        <w:t>（2）</w:t>
      </w:r>
      <w:r>
        <w:rPr>
          <w:rFonts w:hint="eastAsia" w:ascii="仿宋_GB2312" w:hAnsi="宋体"/>
          <w:color w:val="000000" w:themeColor="text1"/>
          <w:kern w:val="2"/>
          <w:sz w:val="32"/>
          <w:szCs w:val="28"/>
          <w14:textFill>
            <w14:solidFill>
              <w14:schemeClr w14:val="tx1"/>
            </w14:solidFill>
          </w14:textFill>
        </w:rPr>
        <w:t>多工序一体化集成控制：将“分散数天”压缩为“一次行走”。在机器本体上集成了“放空盘→注入重构基质→精准播种→盘中秧苗输出”的完整生产线，通过精密时序设计和实时闭环控制算法，确保各工序节拍精准同步，杜绝“堵车”或“断料”现象。核心价值：传统模式下分散在不同时间、场地、设备和人力完成的播种育秧工序，被压缩到机器一次田间行走中连续无缝完成。这极大减少了农机进地次数，降低了土壤压实和燃油消耗，同时将播种育秧作业效率提升至全新水平，是对传统农艺流程的时间重构和效率革命。。</w:t>
      </w:r>
    </w:p>
    <w:p w14:paraId="662F802A">
      <w:pPr>
        <w:pStyle w:val="9"/>
        <w:widowControl/>
        <w:shd w:val="clear" w:color="auto" w:fill="FFFFFF"/>
        <w:spacing w:before="0" w:beforeAutospacing="0" w:after="0" w:afterAutospacing="0"/>
        <w:ind w:firstLine="640"/>
        <w:rPr>
          <w:rFonts w:ascii="仿宋_GB2312" w:hAnsi="宋体"/>
          <w:color w:val="000000" w:themeColor="text1"/>
          <w:kern w:val="2"/>
          <w:sz w:val="32"/>
          <w:szCs w:val="28"/>
          <w14:textFill>
            <w14:solidFill>
              <w14:schemeClr w14:val="tx1"/>
            </w14:solidFill>
          </w14:textFill>
        </w:rPr>
      </w:pPr>
      <w:r>
        <w:rPr>
          <w:rFonts w:ascii="仿宋_GB2312" w:hAnsi="宋体"/>
          <w:color w:val="000000" w:themeColor="text1"/>
          <w:kern w:val="2"/>
          <w:sz w:val="32"/>
          <w:szCs w:val="28"/>
          <w14:textFill>
            <w14:solidFill>
              <w14:schemeClr w14:val="tx1"/>
            </w14:solidFill>
          </w14:textFill>
        </w:rPr>
        <w:t>（3）</w:t>
      </w:r>
      <w:r>
        <w:rPr>
          <w:rFonts w:hint="eastAsia" w:ascii="仿宋_GB2312" w:hAnsi="宋体"/>
          <w:color w:val="000000" w:themeColor="text1"/>
          <w:kern w:val="2"/>
          <w:sz w:val="32"/>
          <w:szCs w:val="28"/>
          <w14:textFill>
            <w14:solidFill>
              <w14:schemeClr w14:val="tx1"/>
            </w14:solidFill>
          </w14:textFill>
        </w:rPr>
        <w:t>智慧化生产管理范式：从“凭经验种田”到“靠数据决策”。整个作业过程不再是经验主导，而是基于处方图启动，并在作业中通过传感器实时采集播量、位置、基质状态等关键数据，全部上传至农场管理云平台。核心价值：将水稻生产变为可量化、可追溯、可优化的工业级流程——每块田、每盘秧都有精准数据档案，管理者可随时回溯、分析和迭代优化下一季的种植方案。这不仅让种植决策有了“数据底气”，也为农场精准施肥、水肥调控和产量预测奠定了数字化基础，真正推动水稻种植从传统经验农业迈向智慧农业。</w:t>
      </w:r>
    </w:p>
    <w:p w14:paraId="0B027FBE">
      <w:pPr>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2、主体内容</w:t>
      </w:r>
    </w:p>
    <w:p w14:paraId="52073243">
      <w:pPr>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标准编制工作组在对收集的资料进行整理研究之后，标准编制工作组召开了标准编制会议，对标准的整体框架结构进行了研究，并对标准的关键性内容进行了初步探讨。经过研究，标准的主体内容确定为术语和定义、作业条件选择、作业前准备、播种作业、作业质量、维护保养。</w:t>
      </w:r>
    </w:p>
    <w:p w14:paraId="00375E1D">
      <w:pPr>
        <w:spacing w:line="560" w:lineRule="exact"/>
        <w:ind w:firstLine="643"/>
        <w:rPr>
          <w:rFonts w:ascii="楷体" w:hAnsi="楷体" w:eastAsia="楷体" w:cs="仿宋_GB2312"/>
          <w:b/>
          <w:color w:val="000000" w:themeColor="text1"/>
          <w:szCs w:val="28"/>
          <w14:textFill>
            <w14:solidFill>
              <w14:schemeClr w14:val="tx1"/>
            </w14:solidFill>
          </w14:textFill>
        </w:rPr>
      </w:pPr>
      <w:r>
        <w:rPr>
          <w:rFonts w:hint="eastAsia" w:ascii="楷体" w:hAnsi="楷体" w:eastAsia="楷体" w:cs="仿宋_GB2312"/>
          <w:b/>
          <w:color w:val="000000" w:themeColor="text1"/>
          <w:szCs w:val="28"/>
          <w14:textFill>
            <w14:solidFill>
              <w14:schemeClr w14:val="tx1"/>
            </w14:solidFill>
          </w14:textFill>
        </w:rPr>
        <w:t>（四）调研及形成草案、征求意见稿</w:t>
      </w:r>
    </w:p>
    <w:p w14:paraId="7B4C7284">
      <w:pPr>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2026年1～3月，标准起草工作小组前往广西玉林市树锋农业机械科技有限公司、北流市大里镇新红水稻种植专业合作社、横县裕丰水稻种植家庭农场、广西香米种业有限公司等单位进行了广泛调研工作，查阅了大量的国内外文献资料，对灵山香鸡饲养管理的前人研究成果进行系统总结。形成了标准的基本构架，对主要内容进行了讨论并对项目的工作进行了部署和安排。</w:t>
      </w:r>
    </w:p>
    <w:p w14:paraId="140CBC19">
      <w:pPr>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2026年4月，在前期工作的基础上，通过理清逻辑脉络，整合已有的参考资料中有关水稻原位浆泥智能播种育秧技术要求，并结合水稻原位浆泥智能播种育秧技术实际要求基础上，按照简化、统一等原则编制完成团体标准《水稻原位浆泥智能播种育秧技术规程》（草案）。</w:t>
      </w:r>
    </w:p>
    <w:p w14:paraId="4EFA8E10">
      <w:pPr>
        <w:ind w:firstLine="640"/>
        <w:rPr>
          <w:rFonts w:hint="eastAsia"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2026年5月，标准起草工作组召集广西大学、广西玉林市树锋农业机械科技有限公司、广西标准化协会、广西作物学会、玉林市农业科学院、华南农业大学、广西农业科学院水稻研究所、广西农业职业技术大学、百色学院、贺州学院、广西壮族自治区中国科学院广西植物研究所、北流市大里镇新红水稻种植专业合作社、横县裕丰水稻种植家庭农场、广西香米种业有限公司</w:t>
      </w:r>
      <w:r>
        <w:rPr>
          <w:rFonts w:hint="eastAsia" w:hAnsi="宋体" w:cs="宋体"/>
          <w:bCs/>
          <w:color w:val="000000" w:themeColor="text1"/>
          <w14:textFill>
            <w14:solidFill>
              <w14:schemeClr w14:val="tx1"/>
            </w14:solidFill>
          </w14:textFill>
        </w:rPr>
        <w:t>等单位召开座谈会，</w:t>
      </w:r>
      <w:r>
        <w:rPr>
          <w:rFonts w:hint="eastAsia" w:ascii="仿宋_GB2312" w:hAnsi="宋体"/>
          <w:color w:val="000000" w:themeColor="text1"/>
          <w:szCs w:val="28"/>
          <w14:textFill>
            <w14:solidFill>
              <w14:schemeClr w14:val="tx1"/>
            </w14:solidFill>
          </w14:textFill>
        </w:rPr>
        <w:t>并实际征求意见，通过收集反馈了大量意见，标准编制工作组多次召开会议，对标准草案进行了反复修改和研究讨论。进一步讨论完善标准草案，形成团体标准《水稻原位浆泥智能播种育秧技术规程》（征求意见稿）和（征求意见稿）编制说明。</w:t>
      </w:r>
    </w:p>
    <w:tbl>
      <w:tblPr>
        <w:tblStyle w:val="11"/>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4752"/>
        <w:gridCol w:w="4422"/>
      </w:tblGrid>
      <w:tr w14:paraId="4A0735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752" w:type="dxa"/>
          </w:tcPr>
          <w:p w14:paraId="2BE8D6FD">
            <w:pPr>
              <w:pStyle w:val="3"/>
              <w:ind w:firstLine="0" w:firstLineChars="0"/>
            </w:pPr>
            <w:r>
              <w:drawing>
                <wp:inline distT="0" distB="0" distL="0" distR="0">
                  <wp:extent cx="2743200" cy="137731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2"/>
                          <a:stretch>
                            <a:fillRect/>
                          </a:stretch>
                        </pic:blipFill>
                        <pic:spPr>
                          <a:xfrm>
                            <a:off x="0" y="0"/>
                            <a:ext cx="2752278" cy="1381873"/>
                          </a:xfrm>
                          <a:prstGeom prst="rect">
                            <a:avLst/>
                          </a:prstGeom>
                        </pic:spPr>
                      </pic:pic>
                    </a:graphicData>
                  </a:graphic>
                </wp:inline>
              </w:drawing>
            </w:r>
          </w:p>
        </w:tc>
        <w:tc>
          <w:tcPr>
            <w:tcW w:w="4422" w:type="dxa"/>
          </w:tcPr>
          <w:p w14:paraId="05CA53F4">
            <w:pPr>
              <w:pStyle w:val="3"/>
              <w:ind w:firstLine="0" w:firstLineChars="0"/>
              <w:jc w:val="center"/>
            </w:pPr>
            <w:r>
              <w:drawing>
                <wp:inline distT="0" distB="0" distL="0" distR="0">
                  <wp:extent cx="2364105" cy="144843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2363998" cy="1448496"/>
                          </a:xfrm>
                          <a:prstGeom prst="rect">
                            <a:avLst/>
                          </a:prstGeom>
                        </pic:spPr>
                      </pic:pic>
                    </a:graphicData>
                  </a:graphic>
                </wp:inline>
              </w:drawing>
            </w:r>
          </w:p>
        </w:tc>
      </w:tr>
      <w:tr w14:paraId="7740F5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174" w:type="dxa"/>
            <w:gridSpan w:val="2"/>
          </w:tcPr>
          <w:p w14:paraId="65406F90">
            <w:pPr>
              <w:pStyle w:val="3"/>
              <w:ind w:firstLine="0" w:firstLineChars="0"/>
              <w:jc w:val="center"/>
            </w:pPr>
            <w:r>
              <w:rPr>
                <w:rFonts w:hint="eastAsia" w:ascii="仿宋_GB2312"/>
              </w:rPr>
              <w:t>2026年6月</w:t>
            </w:r>
            <w:r>
              <w:rPr>
                <w:rFonts w:hint="eastAsia"/>
              </w:rPr>
              <w:t>玉林调研图片</w:t>
            </w:r>
          </w:p>
        </w:tc>
      </w:tr>
      <w:tr w14:paraId="031250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752" w:type="dxa"/>
          </w:tcPr>
          <w:p w14:paraId="74E2EA97">
            <w:pPr>
              <w:pStyle w:val="3"/>
              <w:ind w:firstLine="0" w:firstLineChars="0"/>
            </w:pPr>
            <w:r>
              <w:drawing>
                <wp:inline distT="0" distB="0" distL="0" distR="0">
                  <wp:extent cx="2880360" cy="2159635"/>
                  <wp:effectExtent l="0" t="0" r="0" b="0"/>
                  <wp:docPr id="1" name="图片 1" descr="D:\我的文档\xwechat_files\wxid_v3j52f42taun22_f98f\temp\RWTemp\2026-08\ad553ba024ac83d672d13f7e84d692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我的文档\xwechat_files\wxid_v3j52f42taun22_f98f\temp\RWTemp\2026-08\ad553ba024ac83d672d13f7e84d692ba.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880800" cy="2160000"/>
                          </a:xfrm>
                          <a:prstGeom prst="rect">
                            <a:avLst/>
                          </a:prstGeom>
                          <a:noFill/>
                          <a:ln>
                            <a:noFill/>
                          </a:ln>
                        </pic:spPr>
                      </pic:pic>
                    </a:graphicData>
                  </a:graphic>
                </wp:inline>
              </w:drawing>
            </w:r>
          </w:p>
        </w:tc>
        <w:tc>
          <w:tcPr>
            <w:tcW w:w="4422" w:type="dxa"/>
          </w:tcPr>
          <w:p w14:paraId="537591BA">
            <w:pPr>
              <w:pStyle w:val="3"/>
              <w:ind w:firstLine="0" w:firstLineChars="0"/>
              <w:jc w:val="center"/>
            </w:pPr>
            <w:r>
              <w:drawing>
                <wp:inline distT="0" distB="0" distL="0" distR="0">
                  <wp:extent cx="970915" cy="2159635"/>
                  <wp:effectExtent l="0" t="0" r="635" b="0"/>
                  <wp:docPr id="2" name="图片 2" descr="D:\我的文档\xwechat_files\wxid_v3j52f42taun22_f98f\temp\RWTemp\2026-08\eb71466d7fdf6a27086a7bf4ab3e1f2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我的文档\xwechat_files\wxid_v3j52f42taun22_f98f\temp\RWTemp\2026-08\eb71466d7fdf6a27086a7bf4ab3e1f2d.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971274" cy="2160000"/>
                          </a:xfrm>
                          <a:prstGeom prst="rect">
                            <a:avLst/>
                          </a:prstGeom>
                          <a:noFill/>
                          <a:ln>
                            <a:noFill/>
                          </a:ln>
                        </pic:spPr>
                      </pic:pic>
                    </a:graphicData>
                  </a:graphic>
                </wp:inline>
              </w:drawing>
            </w:r>
            <w:r>
              <w:drawing>
                <wp:inline distT="0" distB="0" distL="0" distR="0">
                  <wp:extent cx="970915" cy="2159635"/>
                  <wp:effectExtent l="0" t="0" r="635" b="0"/>
                  <wp:docPr id="3" name="图片 3" descr="D:\我的文档\xwechat_files\wxid_v3j52f42taun22_f98f\temp\RWTemp\2026-08\d29fa4b501b1879e1549b87ee80e20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我的文档\xwechat_files\wxid_v3j52f42taun22_f98f\temp\RWTemp\2026-08\d29fa4b501b1879e1549b87ee80e20b0.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71274" cy="2160000"/>
                          </a:xfrm>
                          <a:prstGeom prst="rect">
                            <a:avLst/>
                          </a:prstGeom>
                          <a:noFill/>
                          <a:ln>
                            <a:noFill/>
                          </a:ln>
                        </pic:spPr>
                      </pic:pic>
                    </a:graphicData>
                  </a:graphic>
                </wp:inline>
              </w:drawing>
            </w:r>
          </w:p>
        </w:tc>
      </w:tr>
      <w:tr w14:paraId="30FA95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752" w:type="dxa"/>
          </w:tcPr>
          <w:p w14:paraId="3161F510">
            <w:pPr>
              <w:pStyle w:val="3"/>
              <w:ind w:firstLine="0" w:firstLineChars="0"/>
            </w:pPr>
            <w:r>
              <w:drawing>
                <wp:inline distT="0" distB="0" distL="0" distR="0">
                  <wp:extent cx="1765300" cy="2159635"/>
                  <wp:effectExtent l="0" t="0" r="635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7"/>
                          <a:stretch>
                            <a:fillRect/>
                          </a:stretch>
                        </pic:blipFill>
                        <pic:spPr>
                          <a:xfrm>
                            <a:off x="0" y="0"/>
                            <a:ext cx="1765741" cy="2160000"/>
                          </a:xfrm>
                          <a:prstGeom prst="rect">
                            <a:avLst/>
                          </a:prstGeom>
                        </pic:spPr>
                      </pic:pic>
                    </a:graphicData>
                  </a:graphic>
                </wp:inline>
              </w:drawing>
            </w:r>
          </w:p>
        </w:tc>
        <w:tc>
          <w:tcPr>
            <w:tcW w:w="4422" w:type="dxa"/>
          </w:tcPr>
          <w:p w14:paraId="5AF39DFD">
            <w:pPr>
              <w:pStyle w:val="3"/>
              <w:ind w:firstLine="0" w:firstLineChars="0"/>
            </w:pPr>
            <w:r>
              <w:drawing>
                <wp:inline distT="0" distB="0" distL="0" distR="0">
                  <wp:extent cx="1597660" cy="2232025"/>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8"/>
                          <a:stretch>
                            <a:fillRect/>
                          </a:stretch>
                        </pic:blipFill>
                        <pic:spPr>
                          <a:xfrm>
                            <a:off x="0" y="0"/>
                            <a:ext cx="1599091" cy="2233750"/>
                          </a:xfrm>
                          <a:prstGeom prst="rect">
                            <a:avLst/>
                          </a:prstGeom>
                        </pic:spPr>
                      </pic:pic>
                    </a:graphicData>
                  </a:graphic>
                </wp:inline>
              </w:drawing>
            </w:r>
          </w:p>
        </w:tc>
      </w:tr>
      <w:tr w14:paraId="3D87BC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174" w:type="dxa"/>
            <w:gridSpan w:val="2"/>
          </w:tcPr>
          <w:p w14:paraId="48F6B27F">
            <w:pPr>
              <w:pStyle w:val="3"/>
              <w:ind w:firstLine="0" w:firstLineChars="0"/>
              <w:jc w:val="center"/>
            </w:pPr>
            <w:r>
              <w:rPr>
                <w:rFonts w:hint="eastAsia" w:ascii="仿宋_GB2312"/>
              </w:rPr>
              <w:t>2026.8.25</w:t>
            </w:r>
            <w:r>
              <w:rPr>
                <w:rFonts w:hint="eastAsia"/>
              </w:rPr>
              <w:t>线下线下讨论会</w:t>
            </w:r>
          </w:p>
        </w:tc>
      </w:tr>
    </w:tbl>
    <w:p w14:paraId="353444A0">
      <w:pPr>
        <w:autoSpaceDE w:val="0"/>
        <w:autoSpaceDN w:val="0"/>
        <w:adjustRightInd w:val="0"/>
        <w:ind w:firstLine="640"/>
        <w:jc w:val="left"/>
        <w:rPr>
          <w:rFonts w:eastAsia="黑体"/>
          <w:bCs/>
          <w:color w:val="000000" w:themeColor="text1"/>
          <w:szCs w:val="32"/>
          <w14:textFill>
            <w14:solidFill>
              <w14:schemeClr w14:val="tx1"/>
            </w14:solidFill>
          </w14:textFill>
        </w:rPr>
      </w:pPr>
      <w:bookmarkStart w:id="0" w:name="_Toc526940083"/>
      <w:r>
        <w:rPr>
          <w:rFonts w:eastAsia="黑体"/>
          <w:bCs/>
          <w:color w:val="000000" w:themeColor="text1"/>
          <w:szCs w:val="32"/>
          <w14:textFill>
            <w14:solidFill>
              <w14:schemeClr w14:val="tx1"/>
            </w14:solidFill>
          </w14:textFill>
        </w:rPr>
        <w:t>四、</w:t>
      </w:r>
      <w:bookmarkEnd w:id="0"/>
      <w:r>
        <w:rPr>
          <w:rFonts w:eastAsia="黑体"/>
          <w:bCs/>
          <w:color w:val="000000" w:themeColor="text1"/>
          <w:szCs w:val="32"/>
          <w14:textFill>
            <w14:solidFill>
              <w14:schemeClr w14:val="tx1"/>
            </w14:solidFill>
          </w14:textFill>
        </w:rPr>
        <w:t>制定标准的原则和依据，与现行法律、法规的关系，与有关国家标准、行业标准的协调情况</w:t>
      </w:r>
    </w:p>
    <w:p w14:paraId="2F4F6B8F">
      <w:pPr>
        <w:pStyle w:val="15"/>
        <w:spacing w:line="560" w:lineRule="exact"/>
        <w:ind w:firstLine="0" w:firstLineChars="0"/>
        <w:outlineLvl w:val="1"/>
        <w:rPr>
          <w:rFonts w:ascii="Times New Roman" w:eastAsia="仿宋"/>
          <w:b/>
          <w:bCs/>
          <w:color w:val="000000" w:themeColor="text1"/>
          <w:sz w:val="32"/>
          <w:szCs w:val="32"/>
          <w14:textFill>
            <w14:solidFill>
              <w14:schemeClr w14:val="tx1"/>
            </w14:solidFill>
          </w14:textFill>
        </w:rPr>
      </w:pPr>
      <w:r>
        <w:rPr>
          <w:rFonts w:ascii="Times New Roman" w:eastAsia="仿宋"/>
          <w:b/>
          <w:bCs/>
          <w:color w:val="000000" w:themeColor="text1"/>
          <w:sz w:val="32"/>
          <w:szCs w:val="32"/>
          <w14:textFill>
            <w14:solidFill>
              <w14:schemeClr w14:val="tx1"/>
            </w14:solidFill>
          </w14:textFill>
        </w:rPr>
        <w:t>（一）编制原则</w:t>
      </w:r>
    </w:p>
    <w:p w14:paraId="226F4A9A">
      <w:pPr>
        <w:tabs>
          <w:tab w:val="center" w:pos="4201"/>
          <w:tab w:val="right" w:leader="dot" w:pos="9298"/>
        </w:tabs>
        <w:autoSpaceDE w:val="0"/>
        <w:autoSpaceDN w:val="0"/>
        <w:ind w:firstLine="643"/>
        <w:outlineLvl w:val="2"/>
        <w:rPr>
          <w:rFonts w:eastAsia="仿宋"/>
          <w:b/>
          <w:bCs/>
          <w:color w:val="000000" w:themeColor="text1"/>
          <w:kern w:val="0"/>
          <w:szCs w:val="32"/>
          <w14:textFill>
            <w14:solidFill>
              <w14:schemeClr w14:val="tx1"/>
            </w14:solidFill>
          </w14:textFill>
        </w:rPr>
      </w:pPr>
      <w:r>
        <w:rPr>
          <w:rFonts w:eastAsia="仿宋"/>
          <w:b/>
          <w:bCs/>
          <w:color w:val="000000" w:themeColor="text1"/>
          <w:kern w:val="0"/>
          <w:szCs w:val="32"/>
          <w14:textFill>
            <w14:solidFill>
              <w14:schemeClr w14:val="tx1"/>
            </w14:solidFill>
          </w14:textFill>
        </w:rPr>
        <w:t>1、实用性原则</w:t>
      </w:r>
    </w:p>
    <w:p w14:paraId="5DEA2830">
      <w:pPr>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本文件是在充分收集相关资料和文献，分析水稻原位浆泥智能播种育秧技术当前现状，在现有相关水稻原位浆泥智能播种育秧技术要求的基础上，结合编制单位</w:t>
      </w:r>
      <w:r>
        <w:rPr>
          <w:rFonts w:ascii="仿宋_GB2312" w:hAnsi="宋体"/>
          <w:color w:val="000000" w:themeColor="text1"/>
          <w:szCs w:val="28"/>
          <w14:textFill>
            <w14:solidFill>
              <w14:schemeClr w14:val="tx1"/>
            </w14:solidFill>
          </w14:textFill>
        </w:rPr>
        <w:t>多年</w:t>
      </w:r>
      <w:r>
        <w:rPr>
          <w:rFonts w:hint="eastAsia" w:ascii="仿宋_GB2312" w:hAnsi="宋体"/>
          <w:color w:val="000000" w:themeColor="text1"/>
          <w:szCs w:val="28"/>
          <w14:textFill>
            <w14:solidFill>
              <w14:schemeClr w14:val="tx1"/>
            </w14:solidFill>
          </w14:textFill>
        </w:rPr>
        <w:t>相关经验而总结起草的，符合当前水稻原位浆泥智能播种育秧技术发展的方向，具有较强的实用性和可操作性。</w:t>
      </w:r>
    </w:p>
    <w:p w14:paraId="53915B36">
      <w:pPr>
        <w:tabs>
          <w:tab w:val="center" w:pos="4201"/>
          <w:tab w:val="right" w:leader="dot" w:pos="9298"/>
        </w:tabs>
        <w:autoSpaceDE w:val="0"/>
        <w:autoSpaceDN w:val="0"/>
        <w:ind w:firstLine="643"/>
        <w:outlineLvl w:val="2"/>
        <w:rPr>
          <w:rFonts w:eastAsia="仿宋"/>
          <w:b/>
          <w:bCs/>
          <w:color w:val="000000" w:themeColor="text1"/>
          <w:kern w:val="0"/>
          <w:szCs w:val="32"/>
          <w14:textFill>
            <w14:solidFill>
              <w14:schemeClr w14:val="tx1"/>
            </w14:solidFill>
          </w14:textFill>
        </w:rPr>
      </w:pPr>
      <w:r>
        <w:rPr>
          <w:rFonts w:hint="eastAsia" w:eastAsia="仿宋"/>
          <w:b/>
          <w:bCs/>
          <w:color w:val="000000" w:themeColor="text1"/>
          <w:kern w:val="0"/>
          <w:szCs w:val="32"/>
          <w14:textFill>
            <w14:solidFill>
              <w14:schemeClr w14:val="tx1"/>
            </w14:solidFill>
          </w14:textFill>
        </w:rPr>
        <w:t>2、协调性原则</w:t>
      </w:r>
    </w:p>
    <w:p w14:paraId="6AC8104D">
      <w:pPr>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本文件编写过程中注意了与水稻原位浆泥智能播种育秧技术相关法律法规的协调问题，在内容上与现行法律法规、标准协调一致。</w:t>
      </w:r>
    </w:p>
    <w:p w14:paraId="6F67EDCD">
      <w:pPr>
        <w:tabs>
          <w:tab w:val="center" w:pos="4201"/>
          <w:tab w:val="right" w:leader="dot" w:pos="9298"/>
        </w:tabs>
        <w:autoSpaceDE w:val="0"/>
        <w:autoSpaceDN w:val="0"/>
        <w:ind w:firstLine="643"/>
        <w:outlineLvl w:val="2"/>
        <w:rPr>
          <w:rFonts w:eastAsia="仿宋"/>
          <w:b/>
          <w:bCs/>
          <w:color w:val="000000" w:themeColor="text1"/>
          <w:kern w:val="0"/>
          <w:szCs w:val="32"/>
          <w14:textFill>
            <w14:solidFill>
              <w14:schemeClr w14:val="tx1"/>
            </w14:solidFill>
          </w14:textFill>
        </w:rPr>
      </w:pPr>
      <w:r>
        <w:rPr>
          <w:rFonts w:hint="eastAsia" w:eastAsia="仿宋"/>
          <w:b/>
          <w:bCs/>
          <w:color w:val="000000" w:themeColor="text1"/>
          <w:kern w:val="0"/>
          <w:szCs w:val="32"/>
          <w14:textFill>
            <w14:solidFill>
              <w14:schemeClr w14:val="tx1"/>
            </w14:solidFill>
          </w14:textFill>
        </w:rPr>
        <w:t>3、规范性原则</w:t>
      </w:r>
    </w:p>
    <w:p w14:paraId="4A561FCB">
      <w:pPr>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本文件严格参照GB/T 1.1—2020《标准化工作导则  第1部分：标准化文件的结构和起草规则》编写本标准的内容，保证标准的编写质量。</w:t>
      </w:r>
    </w:p>
    <w:p w14:paraId="33015516">
      <w:pPr>
        <w:tabs>
          <w:tab w:val="center" w:pos="4201"/>
          <w:tab w:val="right" w:leader="dot" w:pos="9298"/>
        </w:tabs>
        <w:autoSpaceDE w:val="0"/>
        <w:autoSpaceDN w:val="0"/>
        <w:ind w:firstLine="643"/>
        <w:outlineLvl w:val="2"/>
        <w:rPr>
          <w:rFonts w:eastAsia="仿宋"/>
          <w:b/>
          <w:bCs/>
          <w:color w:val="000000" w:themeColor="text1"/>
          <w:kern w:val="0"/>
          <w:szCs w:val="32"/>
          <w14:textFill>
            <w14:solidFill>
              <w14:schemeClr w14:val="tx1"/>
            </w14:solidFill>
          </w14:textFill>
        </w:rPr>
      </w:pPr>
      <w:r>
        <w:rPr>
          <w:rFonts w:hint="eastAsia" w:eastAsia="仿宋"/>
          <w:b/>
          <w:bCs/>
          <w:color w:val="000000" w:themeColor="text1"/>
          <w:kern w:val="0"/>
          <w:szCs w:val="32"/>
          <w14:textFill>
            <w14:solidFill>
              <w14:schemeClr w14:val="tx1"/>
            </w14:solidFill>
          </w14:textFill>
        </w:rPr>
        <w:t>4、前瞻性原则</w:t>
      </w:r>
    </w:p>
    <w:p w14:paraId="56573173">
      <w:pPr>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本文件在兼顾当前区内水稻原位浆泥智能播种育秧技术现实情况的同时，还考虑到了水稻原位浆泥智能播种育秧技术快速发展的趋势和需要，在标准中体现了个别特色性、前瞻性和先进性条款，作为对水稻原位浆泥智能播种育秧技术发展的指导。</w:t>
      </w:r>
    </w:p>
    <w:p w14:paraId="0ED34A6A">
      <w:pPr>
        <w:widowControl/>
        <w:tabs>
          <w:tab w:val="center" w:pos="4201"/>
          <w:tab w:val="right" w:leader="dot" w:pos="9298"/>
        </w:tabs>
        <w:autoSpaceDE w:val="0"/>
        <w:autoSpaceDN w:val="0"/>
        <w:spacing w:line="560" w:lineRule="exact"/>
        <w:ind w:firstLine="643"/>
        <w:outlineLvl w:val="1"/>
        <w:rPr>
          <w:rFonts w:eastAsia="仿宋"/>
          <w:b/>
          <w:bCs/>
          <w:color w:val="000000" w:themeColor="text1"/>
          <w:kern w:val="0"/>
          <w:szCs w:val="32"/>
          <w14:textFill>
            <w14:solidFill>
              <w14:schemeClr w14:val="tx1"/>
            </w14:solidFill>
          </w14:textFill>
        </w:rPr>
      </w:pPr>
      <w:r>
        <w:rPr>
          <w:rFonts w:eastAsia="仿宋"/>
          <w:b/>
          <w:bCs/>
          <w:color w:val="000000" w:themeColor="text1"/>
          <w:kern w:val="0"/>
          <w:szCs w:val="32"/>
          <w14:textFill>
            <w14:solidFill>
              <w14:schemeClr w14:val="tx1"/>
            </w14:solidFill>
          </w14:textFill>
        </w:rPr>
        <w:t>（二）编制依据</w:t>
      </w:r>
    </w:p>
    <w:p w14:paraId="322B6A25">
      <w:pPr>
        <w:ind w:firstLine="640"/>
        <w:rPr>
          <w:rFonts w:eastAsia="仿宋"/>
          <w:color w:val="000000" w:themeColor="text1"/>
          <w:szCs w:val="32"/>
          <w14:textFill>
            <w14:solidFill>
              <w14:schemeClr w14:val="tx1"/>
            </w14:solidFill>
          </w14:textFill>
        </w:rPr>
      </w:pPr>
      <w:r>
        <w:rPr>
          <w:rFonts w:eastAsia="仿宋"/>
          <w:color w:val="000000" w:themeColor="text1"/>
          <w:szCs w:val="32"/>
          <w14:textFill>
            <w14:solidFill>
              <w14:schemeClr w14:val="tx1"/>
            </w14:solidFill>
          </w14:textFill>
        </w:rPr>
        <w:t>本标准严格按照GB/T 1.1—2020《标准化工作导则  第1部分：标准化文件的结构和起草规则》的规则起草，标准主要内容参考相关标准文件并结合起草单位多年的</w:t>
      </w:r>
      <w:r>
        <w:rPr>
          <w:rFonts w:hint="eastAsia" w:eastAsia="仿宋"/>
          <w:color w:val="000000" w:themeColor="text1"/>
          <w:szCs w:val="32"/>
          <w14:textFill>
            <w14:solidFill>
              <w14:schemeClr w14:val="tx1"/>
            </w14:solidFill>
          </w14:textFill>
        </w:rPr>
        <w:t>相关</w:t>
      </w:r>
      <w:r>
        <w:rPr>
          <w:rFonts w:eastAsia="仿宋"/>
          <w:color w:val="000000" w:themeColor="text1"/>
          <w:szCs w:val="32"/>
          <w14:textFill>
            <w14:solidFill>
              <w14:schemeClr w14:val="tx1"/>
            </w14:solidFill>
          </w14:textFill>
        </w:rPr>
        <w:t>经验</w:t>
      </w:r>
      <w:r>
        <w:rPr>
          <w:rFonts w:hint="eastAsia" w:eastAsia="仿宋"/>
          <w:color w:val="000000" w:themeColor="text1"/>
          <w:szCs w:val="32"/>
          <w14:textFill>
            <w14:solidFill>
              <w14:schemeClr w14:val="tx1"/>
            </w14:solidFill>
          </w14:textFill>
        </w:rPr>
        <w:t>和实践</w:t>
      </w:r>
      <w:r>
        <w:rPr>
          <w:rFonts w:eastAsia="仿宋"/>
          <w:color w:val="000000" w:themeColor="text1"/>
          <w:szCs w:val="32"/>
          <w14:textFill>
            <w14:solidFill>
              <w14:schemeClr w14:val="tx1"/>
            </w14:solidFill>
          </w14:textFill>
        </w:rPr>
        <w:t>验证情况总结进行起草。</w:t>
      </w:r>
    </w:p>
    <w:p w14:paraId="3875A722">
      <w:pPr>
        <w:widowControl/>
        <w:tabs>
          <w:tab w:val="center" w:pos="4201"/>
          <w:tab w:val="right" w:leader="dot" w:pos="9298"/>
        </w:tabs>
        <w:autoSpaceDE w:val="0"/>
        <w:autoSpaceDN w:val="0"/>
        <w:spacing w:line="560" w:lineRule="exact"/>
        <w:ind w:firstLine="643"/>
        <w:outlineLvl w:val="1"/>
        <w:rPr>
          <w:rFonts w:eastAsia="仿宋"/>
          <w:b/>
          <w:bCs/>
          <w:color w:val="000000" w:themeColor="text1"/>
          <w:kern w:val="0"/>
          <w:szCs w:val="32"/>
          <w14:textFill>
            <w14:solidFill>
              <w14:schemeClr w14:val="tx1"/>
            </w14:solidFill>
          </w14:textFill>
        </w:rPr>
      </w:pPr>
      <w:r>
        <w:rPr>
          <w:rFonts w:eastAsia="仿宋"/>
          <w:b/>
          <w:bCs/>
          <w:color w:val="000000" w:themeColor="text1"/>
          <w:kern w:val="0"/>
          <w:szCs w:val="32"/>
          <w14:textFill>
            <w14:solidFill>
              <w14:schemeClr w14:val="tx1"/>
            </w14:solidFill>
          </w14:textFill>
        </w:rPr>
        <w:t>（三）与现行法律、法规的关系，与有关国家标准、行业标准的协调情况</w:t>
      </w:r>
    </w:p>
    <w:p w14:paraId="72D5CCF6">
      <w:pPr>
        <w:ind w:firstLine="640"/>
        <w:rPr>
          <w:rFonts w:eastAsia="仿宋"/>
          <w:color w:val="000000" w:themeColor="text1"/>
          <w:szCs w:val="32"/>
          <w14:textFill>
            <w14:solidFill>
              <w14:schemeClr w14:val="tx1"/>
            </w14:solidFill>
          </w14:textFill>
        </w:rPr>
      </w:pPr>
      <w:r>
        <w:rPr>
          <w:rFonts w:hint="eastAsia" w:eastAsia="仿宋"/>
          <w:color w:val="000000" w:themeColor="text1"/>
          <w:szCs w:val="32"/>
          <w14:textFill>
            <w14:solidFill>
              <w14:schemeClr w14:val="tx1"/>
            </w14:solidFill>
          </w14:textFill>
        </w:rPr>
        <w:t>本编制工作组承诺本标准内容与各项指标不违反相关法律法规要求，且不低于国家强制性标准、推荐性国家标准和行业标准要求。</w:t>
      </w:r>
    </w:p>
    <w:p w14:paraId="704C7B97">
      <w:pPr>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经查询，暂无“水稻原位智能播种机全程机械化播种”标准。与“水稻  机械化”“水稻  播种”相关的标准有：《NY/T 3658-2020  水稻全程机械化生产技术规范》《JB/T 14867-2024  机插水稻种子精量播种流水线》《DB21/T 2318-2015  水稻盘育秧机械化播种作业规程》《DB21/T 4044-2024  水稻育秧播种供盘机作业技术规程》《DB23/T 2784-2021  三江平原水稻智能机械化生产技术规程》《DB34/T 5092-2025  水稻机械化育插秧智能管理技术规范》《DB36/T 1798-2023  水稻机械化穴直播生产技术规程》《DB42/T 632.2-2024  水稻机械直播栽培技术规程 第2部分：再生稻》《DB44/T 2435-2023  水稻全程机械化生产技术规程》《DB45/T 1270-2015  水稻生产全程机械化技术规程》《DB53/T 1418-2025  水稻全程机械化生产技术规程》《DB2111/T 0024-2023  水稻机械旱直播栽培技术规程》。</w:t>
      </w:r>
    </w:p>
    <w:p w14:paraId="636465FB">
      <w:pPr>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现有标准主要涉及水稻机械化生产的品种选择、田块准备、耕整、栽植、田间管理、收获、秸秆处理等内容，对于水稻播种也有多种育秧播种机、直播机，不涉及水稻原位智能播种机全程机械化播种的内容，无法指导水稻原位智能播种机全程机械化播种，制定团体标准《水稻原位浆泥智能播种育秧技术规程》具有较大创新性。</w:t>
      </w:r>
    </w:p>
    <w:p w14:paraId="491839BF">
      <w:pPr>
        <w:autoSpaceDE w:val="0"/>
        <w:autoSpaceDN w:val="0"/>
        <w:adjustRightInd w:val="0"/>
        <w:spacing w:line="560" w:lineRule="exact"/>
        <w:ind w:firstLine="640"/>
        <w:jc w:val="left"/>
        <w:rPr>
          <w:rFonts w:ascii="黑体" w:hAnsi="黑体" w:eastAsia="黑体" w:cs="仿宋_GB2312"/>
          <w:color w:val="000000" w:themeColor="text1"/>
          <w:szCs w:val="32"/>
          <w14:textFill>
            <w14:solidFill>
              <w14:schemeClr w14:val="tx1"/>
            </w14:solidFill>
          </w14:textFill>
        </w:rPr>
      </w:pPr>
      <w:bookmarkStart w:id="1" w:name="_Toc526940084"/>
      <w:r>
        <w:rPr>
          <w:rFonts w:hint="eastAsia" w:ascii="黑体" w:hAnsi="黑体" w:eastAsia="黑体" w:cs="仿宋_GB2312"/>
          <w:color w:val="000000" w:themeColor="text1"/>
          <w:szCs w:val="32"/>
          <w14:textFill>
            <w14:solidFill>
              <w14:schemeClr w14:val="tx1"/>
            </w14:solidFill>
          </w14:textFill>
        </w:rPr>
        <w:t>五、</w:t>
      </w:r>
      <w:bookmarkEnd w:id="1"/>
      <w:r>
        <w:rPr>
          <w:rFonts w:hint="eastAsia" w:ascii="黑体" w:hAnsi="黑体" w:eastAsia="黑体" w:cs="仿宋_GB2312"/>
          <w:color w:val="000000" w:themeColor="text1"/>
          <w:szCs w:val="32"/>
          <w14:textFill>
            <w14:solidFill>
              <w14:schemeClr w14:val="tx1"/>
            </w14:solidFill>
          </w14:textFill>
        </w:rPr>
        <w:t>主要条款的说明</w:t>
      </w:r>
    </w:p>
    <w:p w14:paraId="44F94BF7">
      <w:pPr>
        <w:ind w:firstLine="640"/>
        <w:rPr>
          <w:rFonts w:ascii="仿宋_GB2312" w:hAnsi="宋体"/>
          <w:color w:val="000000" w:themeColor="text1"/>
          <w:szCs w:val="32"/>
          <w:lang w:val="zh-CN"/>
          <w14:textFill>
            <w14:solidFill>
              <w14:schemeClr w14:val="tx1"/>
            </w14:solidFill>
          </w14:textFill>
        </w:rPr>
      </w:pPr>
      <w:r>
        <w:rPr>
          <w:rFonts w:hint="eastAsia" w:ascii="仿宋_GB2312" w:hAnsi="宋体"/>
          <w:color w:val="000000" w:themeColor="text1"/>
          <w:szCs w:val="32"/>
          <w:lang w:val="zh-CN"/>
          <w14:textFill>
            <w14:solidFill>
              <w14:schemeClr w14:val="tx1"/>
            </w14:solidFill>
          </w14:textFill>
        </w:rPr>
        <w:t>团体标准《</w:t>
      </w:r>
      <w:r>
        <w:rPr>
          <w:rFonts w:hint="eastAsia" w:ascii="仿宋_GB2312" w:hAnsi="宋体"/>
          <w:color w:val="000000" w:themeColor="text1"/>
          <w:szCs w:val="28"/>
          <w14:textFill>
            <w14:solidFill>
              <w14:schemeClr w14:val="tx1"/>
            </w14:solidFill>
          </w14:textFill>
        </w:rPr>
        <w:t>水稻原位浆泥智能播种育秧技术规程</w:t>
      </w:r>
      <w:r>
        <w:rPr>
          <w:rFonts w:hint="eastAsia" w:ascii="仿宋_GB2312" w:hAnsi="宋体"/>
          <w:color w:val="000000" w:themeColor="text1"/>
          <w:szCs w:val="32"/>
          <w:lang w:val="zh-CN"/>
          <w14:textFill>
            <w14:solidFill>
              <w14:schemeClr w14:val="tx1"/>
            </w14:solidFill>
          </w14:textFill>
        </w:rPr>
        <w:t>》的主要章节内容包括：术语和定义、作业条件选择、作业前准备、播种作业、作业质量、维护保养。本文件主要内容及依据来源说明如下：</w:t>
      </w:r>
    </w:p>
    <w:p w14:paraId="24B097E3">
      <w:pPr>
        <w:pStyle w:val="3"/>
        <w:ind w:firstLine="640"/>
        <w:rPr>
          <w:rFonts w:ascii="仿宋_GB2312" w:hAnsi="仿宋_GB2312" w:cs="仿宋_GB2312"/>
          <w:lang w:val="zh-CN"/>
        </w:rPr>
      </w:pPr>
      <w:r>
        <w:rPr>
          <w:rFonts w:hint="eastAsia" w:ascii="仿宋_GB2312" w:hAnsi="仿宋_GB2312" w:cs="仿宋_GB2312"/>
          <w:lang w:val="zh-CN"/>
        </w:rPr>
        <w:t>水稻原位浆泥智能播种育秧技术是近年来在广西形成的一项重大农机农艺融合创新成果。该技术由玉林市农业技术推广站高级农艺师罗学夫历经多年研发，其核心装备“水稻芽谷浆泥智能化播种机”由广西玉林市树锋农业机械科技有限公司于2017年研制成功并获国家专利，是国内首创、全国首次实现用大田泥浆作育秧基质并在大田行走作业的智能化播种平台。该机集放盘、施壮秧剂、上浆泥、除杂、播种等多道工序于一体，可一次性完成播种全流程，作业效率达每分钟25—30盘、8小时可完成500亩大田用秧。在学术与技术支撑方面，华南农业大学作为国家重点研发计划项目牵头单位提供顶层指导，广西大学唐文伟教授团队作为课题牵头单位负责技术体系集成与示范，玉林市农业科学院（广西农业科学院玉林分院）作为主要合作单位持有水稻智能化播种设备等相关发明专利并参与技术示范，广西农业科学院水稻研究所积极引进推广精准播种技术，广西农业职业技术大学将相关技术纳入智慧农业教学实训。在示范应用层面，北流市大里镇新红水稻种植专业合作社、横县裕丰水稻种植家庭农场等新型经营主体率先示范应用，广西香米种业有限公司等种业企业积极对接推广。此外，百色学院和贺州学院也通过学生项目参与和承办培训班等方式介入技术推广。上述单位共同构成了覆盖“核心装备研发—学术理论支撑—集成示范验证—推广应用服务”的完整创新链条，为本技术规程的制定提供了充分的研发基础、试验数据和实践积累。</w:t>
      </w:r>
    </w:p>
    <w:p w14:paraId="559194D4">
      <w:pPr>
        <w:pStyle w:val="34"/>
        <w:autoSpaceDE w:val="0"/>
        <w:autoSpaceDN w:val="0"/>
        <w:adjustRightInd w:val="0"/>
        <w:spacing w:line="560" w:lineRule="exact"/>
        <w:ind w:left="1007" w:leftChars="100" w:hanging="687" w:hangingChars="214"/>
        <w:jc w:val="left"/>
        <w:rPr>
          <w:rFonts w:ascii="仿宋_GB2312" w:hAnsi="宋体"/>
          <w:b/>
          <w:color w:val="000000" w:themeColor="text1"/>
          <w:szCs w:val="32"/>
          <w:lang w:val="zh-CN"/>
          <w14:textFill>
            <w14:solidFill>
              <w14:schemeClr w14:val="tx1"/>
            </w14:solidFill>
          </w14:textFill>
        </w:rPr>
      </w:pPr>
      <w:r>
        <w:rPr>
          <w:rFonts w:ascii="仿宋_GB2312" w:hAnsi="宋体"/>
          <w:b/>
          <w:color w:val="000000" w:themeColor="text1"/>
          <w:szCs w:val="32"/>
          <w:lang w:val="zh-CN"/>
          <w14:textFill>
            <w14:solidFill>
              <w14:schemeClr w14:val="tx1"/>
            </w14:solidFill>
          </w14:textFill>
        </w:rPr>
        <w:t>（一）</w:t>
      </w:r>
      <w:r>
        <w:rPr>
          <w:rFonts w:hint="eastAsia" w:ascii="仿宋_GB2312" w:hAnsi="宋体"/>
          <w:b/>
          <w:color w:val="000000" w:themeColor="text1"/>
          <w:szCs w:val="32"/>
          <w:lang w:val="zh-CN"/>
          <w14:textFill>
            <w14:solidFill>
              <w14:schemeClr w14:val="tx1"/>
            </w14:solidFill>
          </w14:textFill>
        </w:rPr>
        <w:t>术语与定义</w:t>
      </w:r>
    </w:p>
    <w:p w14:paraId="074D2071">
      <w:pPr>
        <w:ind w:firstLine="643"/>
        <w:rPr>
          <w:rFonts w:hint="eastAsia" w:ascii="仿宋_GB2312" w:hAnsi="宋体"/>
          <w:bCs/>
          <w:color w:val="000000" w:themeColor="text1"/>
          <w:szCs w:val="32"/>
          <w14:textFill>
            <w14:solidFill>
              <w14:schemeClr w14:val="tx1"/>
            </w14:solidFill>
          </w14:textFill>
        </w:rPr>
      </w:pPr>
      <w:r>
        <w:rPr>
          <w:rFonts w:hint="eastAsia" w:ascii="仿宋_GB2312" w:hAnsi="宋体"/>
          <w:b/>
          <w:bCs/>
          <w:color w:val="000000" w:themeColor="text1"/>
          <w:szCs w:val="32"/>
          <w14:textFill>
            <w14:solidFill>
              <w14:schemeClr w14:val="tx1"/>
            </w14:solidFill>
          </w14:textFill>
        </w:rPr>
        <w:t>水稻原位智能浆泥播种</w:t>
      </w:r>
      <w:r>
        <w:rPr>
          <w:rFonts w:hint="eastAsia" w:ascii="仿宋_GB2312" w:hAnsi="宋体"/>
          <w:bCs/>
          <w:color w:val="000000" w:themeColor="text1"/>
          <w:szCs w:val="32"/>
          <w14:textFill>
            <w14:solidFill>
              <w14:schemeClr w14:val="tx1"/>
            </w14:solidFill>
          </w14:textFill>
        </w:rPr>
        <w:t>：该术语所对应的核心技术是罗学夫等人研发的“水稻芽谷浆泥智能化播种平台”及相关专利（如ZL201720564944.0等），该技术在国内首次实现以田间泥浆就地取材作为育秧基质，并在同一台机器上连续完成放盘、施壮秧剂、除杂、灌浆、播种等全部工序，体现了“原位”与“浆泥”的本质特征；学术论文《水稻芽谷浆泥智能化播种平台》（《农机化研究》2020年第9期）对该技术的定义、结构及作业流程进行了系统论述，提供了学术支撑；广西农业农村厅的鉴定公告及地方政府政策文件亦将该技术认定为全国首创的田间智能化播种方式，从官方层面确认了其技术定位。综上，该定义综合了“原位”（就地取浆、大田作业）、“浆泥”（以田泥为基质）和“智能播种”（机械化、自动化一次完成多道工序）三个核心要素，明确其定义为：一种将大田泥浆作为育秧基质、在大田上直接进行智能化播种的现代农业育秧技术。</w:t>
      </w:r>
    </w:p>
    <w:p w14:paraId="7505EBDB">
      <w:pPr>
        <w:pStyle w:val="3"/>
        <w:ind w:firstLine="640"/>
        <w:rPr>
          <w:rFonts w:hint="eastAsia"/>
        </w:rPr>
      </w:pPr>
      <w:r>
        <w:drawing>
          <wp:inline distT="0" distB="0" distL="0" distR="0">
            <wp:extent cx="5486400" cy="3270885"/>
            <wp:effectExtent l="0" t="0" r="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9"/>
                    <a:stretch>
                      <a:fillRect/>
                    </a:stretch>
                  </pic:blipFill>
                  <pic:spPr>
                    <a:xfrm>
                      <a:off x="0" y="0"/>
                      <a:ext cx="5486400" cy="3270885"/>
                    </a:xfrm>
                    <a:prstGeom prst="rect">
                      <a:avLst/>
                    </a:prstGeom>
                  </pic:spPr>
                </pic:pic>
              </a:graphicData>
            </a:graphic>
          </wp:inline>
        </w:drawing>
      </w:r>
    </w:p>
    <w:p w14:paraId="1A236E51">
      <w:pPr>
        <w:pStyle w:val="4"/>
        <w:ind w:firstLine="640"/>
        <w:jc w:val="center"/>
      </w:pPr>
      <w:r>
        <w:rPr>
          <w:rFonts w:hint="eastAsia" w:ascii="宋体" w:eastAsia="仿宋_GB2312"/>
          <w:kern w:val="0"/>
          <w:sz w:val="32"/>
        </w:rPr>
        <w:t>水稻原位浆泥智能播种机图片</w:t>
      </w:r>
    </w:p>
    <w:p w14:paraId="4465890C">
      <w:pPr>
        <w:ind w:firstLine="321" w:firstLineChars="100"/>
        <w:rPr>
          <w:rFonts w:hint="eastAsia" w:ascii="仿宋_GB2312" w:hAnsi="宋体"/>
          <w:b/>
          <w:color w:val="000000" w:themeColor="text1"/>
          <w:szCs w:val="32"/>
          <w14:textFill>
            <w14:solidFill>
              <w14:schemeClr w14:val="tx1"/>
            </w14:solidFill>
          </w14:textFill>
        </w:rPr>
      </w:pPr>
      <w:r>
        <w:rPr>
          <w:rFonts w:hint="eastAsia" w:ascii="仿宋_GB2312" w:hAnsi="宋体"/>
          <w:b/>
          <w:color w:val="000000" w:themeColor="text1"/>
          <w:szCs w:val="32"/>
          <w:lang w:val="zh-CN"/>
          <w14:textFill>
            <w14:solidFill>
              <w14:schemeClr w14:val="tx1"/>
            </w14:solidFill>
          </w14:textFill>
        </w:rPr>
        <w:t>（</w:t>
      </w:r>
      <w:r>
        <w:rPr>
          <w:rFonts w:hint="eastAsia" w:ascii="仿宋_GB2312" w:hAnsi="宋体"/>
          <w:b/>
          <w:color w:val="000000" w:themeColor="text1"/>
          <w:szCs w:val="32"/>
          <w14:textFill>
            <w14:solidFill>
              <w14:schemeClr w14:val="tx1"/>
            </w14:solidFill>
          </w14:textFill>
        </w:rPr>
        <w:t>二）作业前准备</w:t>
      </w:r>
    </w:p>
    <w:p w14:paraId="3B03FA18">
      <w:pPr>
        <w:pStyle w:val="3"/>
        <w:ind w:firstLine="640"/>
      </w:pPr>
      <w:r>
        <w:rPr>
          <w:rFonts w:hint="eastAsia"/>
        </w:rPr>
        <w:t>作业前准备主要包括人员培训、秧田选择、种子与秧盘处理、谷芽准备、机具准备五个方面的技术要求，是保障水稻原位浆泥智能播种作业顺利实施的基础性环节，主要依据专利技术文件、相关学术论文、企业标准进行总结明确。</w:t>
      </w:r>
    </w:p>
    <w:p w14:paraId="23448F77">
      <w:pPr>
        <w:pStyle w:val="34"/>
        <w:autoSpaceDE w:val="0"/>
        <w:autoSpaceDN w:val="0"/>
        <w:adjustRightInd w:val="0"/>
        <w:spacing w:line="500" w:lineRule="exact"/>
        <w:ind w:firstLine="640"/>
        <w:jc w:val="left"/>
        <w:rPr>
          <w:rFonts w:hint="eastAsia" w:ascii="仿宋_GB2312" w:hAnsi="宋体"/>
          <w:color w:val="000000" w:themeColor="text1"/>
          <w:szCs w:val="32"/>
          <w14:textFill>
            <w14:solidFill>
              <w14:schemeClr w14:val="tx1"/>
            </w14:solidFill>
          </w14:textFill>
        </w:rPr>
      </w:pPr>
      <w:r>
        <w:rPr>
          <w:rFonts w:hint="eastAsia" w:ascii="仿宋_GB2312" w:hAnsi="宋体"/>
          <w:color w:val="000000" w:themeColor="text1"/>
          <w:szCs w:val="32"/>
          <w14:textFill>
            <w14:solidFill>
              <w14:schemeClr w14:val="tx1"/>
            </w14:solidFill>
          </w14:textFill>
        </w:rPr>
        <w:t>1、人员培训</w:t>
      </w:r>
    </w:p>
    <w:p w14:paraId="041059FC">
      <w:pPr>
        <w:pStyle w:val="34"/>
        <w:autoSpaceDE w:val="0"/>
        <w:autoSpaceDN w:val="0"/>
        <w:adjustRightInd w:val="0"/>
        <w:spacing w:line="500" w:lineRule="exact"/>
        <w:ind w:firstLine="640"/>
        <w:rPr>
          <w:rFonts w:hint="eastAsia" w:ascii="仿宋_GB2312" w:hAnsi="宋体"/>
          <w:color w:val="000000" w:themeColor="text1"/>
          <w:szCs w:val="32"/>
          <w14:textFill>
            <w14:solidFill>
              <w14:schemeClr w14:val="tx1"/>
            </w14:solidFill>
          </w14:textFill>
        </w:rPr>
      </w:pPr>
      <w:r>
        <w:rPr>
          <w:rFonts w:hint="eastAsia" w:ascii="仿宋_GB2312" w:hAnsi="宋体"/>
          <w:color w:val="000000" w:themeColor="text1"/>
          <w:szCs w:val="32"/>
          <w14:textFill>
            <w14:solidFill>
              <w14:schemeClr w14:val="tx1"/>
            </w14:solidFill>
          </w14:textFill>
        </w:rPr>
        <w:t>规定了播种机驾驶员、机上操作人员、田间配合人员等各类作业人员的培训要求，明确驾驶员和机上操作人员上岗前须经专业培训，其他岗位可在现场临时培训。主要依据如下：（1）根据“水稻芽谷浆泥智能化播种平台”专利（ZL201720564944.0）及相关技术资料，该播种机作业时需要“驾驶员和辅助人员3～5人”协同配合，人员分工包括播种机驾驶员（负责机器行走与整体操作）、机上操作人员（负责放盘、监控各系统运行）、田间配合人员（负责秧盘搬运、摆放及现场协调）；（2）潘小莉等人在《农机化研究》2020年第9期发表的《水稻芽谷浆泥智能化播种平台》论文中指出，该机“需要驾驶员和辅助人员3～5人”，与标准中的人员配置要求一致。</w:t>
      </w:r>
      <w:r>
        <w:rPr>
          <w:rFonts w:ascii="Segoe UI" w:hAnsi="Segoe UI" w:cs="Segoe UI"/>
          <w:color w:val="0F1115"/>
          <w:shd w:val="clear" w:color="auto" w:fill="FFFFFF"/>
        </w:rPr>
        <w:t>操作人员须经培训方可上岗，以确保熟悉机械操作流程、安全操作规范及应急处理措施</w:t>
      </w:r>
      <w:r>
        <w:rPr>
          <w:rFonts w:hint="eastAsia" w:ascii="Segoe UI" w:hAnsi="Segoe UI" w:cs="Segoe UI"/>
          <w:color w:val="0F1115"/>
          <w:shd w:val="clear" w:color="auto" w:fill="FFFFFF"/>
        </w:rPr>
        <w:t>。</w:t>
      </w:r>
    </w:p>
    <w:p w14:paraId="1ED385FD">
      <w:pPr>
        <w:pStyle w:val="34"/>
        <w:autoSpaceDE w:val="0"/>
        <w:autoSpaceDN w:val="0"/>
        <w:adjustRightInd w:val="0"/>
        <w:spacing w:line="500" w:lineRule="exact"/>
        <w:ind w:firstLine="640"/>
        <w:jc w:val="left"/>
        <w:rPr>
          <w:rFonts w:hint="eastAsia" w:ascii="仿宋_GB2312" w:hAnsi="宋体"/>
          <w:color w:val="000000" w:themeColor="text1"/>
          <w:szCs w:val="32"/>
          <w14:textFill>
            <w14:solidFill>
              <w14:schemeClr w14:val="tx1"/>
            </w14:solidFill>
          </w14:textFill>
        </w:rPr>
      </w:pPr>
      <w:r>
        <w:rPr>
          <w:rFonts w:hint="eastAsia" w:ascii="仿宋_GB2312" w:hAnsi="宋体"/>
          <w:color w:val="000000" w:themeColor="text1"/>
          <w:szCs w:val="32"/>
          <w14:textFill>
            <w14:solidFill>
              <w14:schemeClr w14:val="tx1"/>
            </w14:solidFill>
          </w14:textFill>
        </w:rPr>
        <w:t>2、秧田选择</w:t>
      </w:r>
    </w:p>
    <w:p w14:paraId="4DA953E3">
      <w:pPr>
        <w:pStyle w:val="34"/>
        <w:autoSpaceDE w:val="0"/>
        <w:autoSpaceDN w:val="0"/>
        <w:adjustRightInd w:val="0"/>
        <w:spacing w:line="500" w:lineRule="exact"/>
        <w:ind w:firstLine="640"/>
        <w:jc w:val="left"/>
        <w:rPr>
          <w:rFonts w:hint="eastAsia" w:ascii="仿宋_GB2312" w:hAnsi="宋体"/>
          <w:color w:val="000000" w:themeColor="text1"/>
          <w:szCs w:val="32"/>
          <w14:textFill>
            <w14:solidFill>
              <w14:schemeClr w14:val="tx1"/>
            </w14:solidFill>
          </w14:textFill>
        </w:rPr>
      </w:pPr>
      <w:r>
        <w:rPr>
          <w:rFonts w:hint="eastAsia" w:ascii="仿宋_GB2312" w:hAnsi="宋体"/>
          <w:color w:val="000000" w:themeColor="text1"/>
          <w:szCs w:val="32"/>
          <w14:textFill>
            <w14:solidFill>
              <w14:schemeClr w14:val="tx1"/>
            </w14:solidFill>
          </w14:textFill>
        </w:rPr>
        <w:t>规定了秧田选择的基本条件：交通便利、地势平坦、排灌方便且不易积水，面积宜≥</w:t>
      </w:r>
      <w:r>
        <w:rPr>
          <w:rFonts w:ascii="仿宋_GB2312" w:hAnsi="宋体"/>
          <w:color w:val="000000" w:themeColor="text1"/>
          <w:szCs w:val="32"/>
          <w14:textFill>
            <w14:solidFill>
              <w14:schemeClr w14:val="tx1"/>
            </w14:solidFill>
          </w14:textFill>
        </w:rPr>
        <w:t>600m²</w:t>
      </w:r>
      <w:r>
        <w:rPr>
          <w:rFonts w:hint="eastAsia" w:ascii="仿宋_GB2312" w:hAnsi="宋体"/>
          <w:color w:val="000000" w:themeColor="text1"/>
          <w:szCs w:val="32"/>
          <w14:textFill>
            <w14:solidFill>
              <w14:schemeClr w14:val="tx1"/>
            </w14:solidFill>
          </w14:textFill>
        </w:rPr>
        <w:t>。主要依据如下：（1）</w:t>
      </w:r>
      <w:r>
        <w:rPr>
          <w:rFonts w:ascii="Segoe UI" w:hAnsi="Segoe UI" w:cs="Segoe UI"/>
          <w:color w:val="0F1115"/>
          <w:shd w:val="clear" w:color="auto" w:fill="FFFFFF"/>
        </w:rPr>
        <w:t>根据“水稻芽谷浆泥智能化播种平台”的技术特点，该机为履带式自走设备，需要在田间行走作业，因此要求田块“地势平坦”，以保证机器行驶和播种均匀。同时，该机“就地取材”直接从秧田抽取泥浆作为育秧基质，要求秧田靠近水源、排灌方便。</w:t>
      </w:r>
      <w:r>
        <w:rPr>
          <w:rFonts w:hint="eastAsia" w:ascii="Segoe UI" w:hAnsi="Segoe UI" w:cs="Segoe UI"/>
          <w:color w:val="0F1115"/>
          <w:shd w:val="clear" w:color="auto" w:fill="FFFFFF"/>
        </w:rPr>
        <w:t>（2）潘小莉等人的田间试验在“玉林市玉东新区隆平高科水稻机械化生产示范基地”进行，试验前“清除田间杂物”，体现了对作业场地平整、清洁的要求。</w:t>
      </w:r>
    </w:p>
    <w:p w14:paraId="4E4C4775">
      <w:pPr>
        <w:pStyle w:val="34"/>
        <w:autoSpaceDE w:val="0"/>
        <w:autoSpaceDN w:val="0"/>
        <w:adjustRightInd w:val="0"/>
        <w:spacing w:line="500" w:lineRule="exact"/>
        <w:ind w:firstLine="640"/>
        <w:jc w:val="left"/>
        <w:rPr>
          <w:rFonts w:hint="eastAsia" w:ascii="仿宋_GB2312" w:hAnsi="宋体"/>
          <w:color w:val="000000" w:themeColor="text1"/>
          <w:szCs w:val="32"/>
          <w14:textFill>
            <w14:solidFill>
              <w14:schemeClr w14:val="tx1"/>
            </w14:solidFill>
          </w14:textFill>
        </w:rPr>
      </w:pPr>
      <w:r>
        <w:rPr>
          <w:rFonts w:hint="eastAsia" w:ascii="仿宋_GB2312" w:hAnsi="宋体"/>
          <w:color w:val="000000" w:themeColor="text1"/>
          <w:szCs w:val="32"/>
          <w14:textFill>
            <w14:solidFill>
              <w14:schemeClr w14:val="tx1"/>
            </w14:solidFill>
          </w14:textFill>
        </w:rPr>
        <w:t>3、种子与秧盘处理</w:t>
      </w:r>
    </w:p>
    <w:p w14:paraId="4FA2A124">
      <w:pPr>
        <w:pStyle w:val="34"/>
        <w:autoSpaceDE w:val="0"/>
        <w:autoSpaceDN w:val="0"/>
        <w:adjustRightInd w:val="0"/>
        <w:spacing w:line="500" w:lineRule="exact"/>
        <w:ind w:firstLine="640"/>
        <w:jc w:val="left"/>
        <w:rPr>
          <w:rFonts w:hint="eastAsia" w:ascii="仿宋_GB2312" w:hAnsi="宋体"/>
          <w:color w:val="000000" w:themeColor="text1"/>
          <w:szCs w:val="32"/>
          <w14:textFill>
            <w14:solidFill>
              <w14:schemeClr w14:val="tx1"/>
            </w14:solidFill>
          </w14:textFill>
        </w:rPr>
      </w:pPr>
      <w:r>
        <w:rPr>
          <w:rFonts w:hint="eastAsia" w:ascii="仿宋_GB2312" w:hAnsi="宋体"/>
          <w:color w:val="000000" w:themeColor="text1"/>
          <w:szCs w:val="32"/>
          <w14:textFill>
            <w14:solidFill>
              <w14:schemeClr w14:val="tx1"/>
            </w14:solidFill>
          </w14:textFill>
        </w:rPr>
        <w:t>规定种子质量符合GB4404.1的规定，播前进行浸种、催芽等处理；宜选择30cm×60cm或25cm×60cm秧盘，并给出了每盘播种量的建议范围。主要依据如下：（1）GB4404.1《粮食作物种子 第1部分：禾谷类》是国家强制性标准，对水稻种子的质量指标作出了明确规定，作为种子质量的判定依据具有充分的权威性。（2）起草单位前期起草的企业标准《水稻智能播种机》（Q/SF 01-2019）第4.2.1条明确规定：“育苗用种子、田内浆泥等应符合机具使用的要求。每盘的播种量可以通过调频器调节，建议杂交种子75～100g（干种计），常规种子100～150g（干种计）”，播种量范围主要参考该企业标准。（3）潘小莉等人的论文通过田间试验验证了上述播种量的合理性：杂交稻“平均每块秧盘用种75g”，常规优质稻“平均每块秧盘用种125g”。试验结果表明，在此播种量下发芽率达85%以上，成秧率达87%左右，适合机械插秧作业，播种秧盘规格为“600mm×300mm×30mm”，与标准中的30cm×60cm的规格一致。</w:t>
      </w:r>
    </w:p>
    <w:p w14:paraId="27B8DA05">
      <w:pPr>
        <w:ind w:firstLine="640"/>
        <w:jc w:val="center"/>
        <w:rPr>
          <w:rFonts w:hint="eastAsia" w:ascii="仿宋_GB2312" w:hAnsi="宋体"/>
          <w:color w:val="000000" w:themeColor="text1"/>
          <w:szCs w:val="32"/>
          <w14:textFill>
            <w14:solidFill>
              <w14:schemeClr w14:val="tx1"/>
            </w14:solidFill>
          </w14:textFill>
        </w:rPr>
      </w:pPr>
      <w:r>
        <w:drawing>
          <wp:inline distT="0" distB="0" distL="0" distR="0">
            <wp:extent cx="3013710" cy="431101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0"/>
                    <a:stretch>
                      <a:fillRect/>
                    </a:stretch>
                  </pic:blipFill>
                  <pic:spPr>
                    <a:xfrm>
                      <a:off x="0" y="0"/>
                      <a:ext cx="3024029" cy="4325169"/>
                    </a:xfrm>
                    <a:prstGeom prst="rect">
                      <a:avLst/>
                    </a:prstGeom>
                  </pic:spPr>
                </pic:pic>
              </a:graphicData>
            </a:graphic>
          </wp:inline>
        </w:drawing>
      </w:r>
    </w:p>
    <w:p w14:paraId="01EB540C">
      <w:pPr>
        <w:pStyle w:val="3"/>
        <w:ind w:firstLine="640"/>
        <w:rPr>
          <w:rFonts w:hint="eastAsia"/>
        </w:rPr>
      </w:pPr>
      <w:r>
        <w:rPr>
          <w:rFonts w:hint="eastAsia"/>
        </w:rPr>
        <w:t>来源：</w:t>
      </w:r>
      <w:r>
        <w:rPr>
          <w:rFonts w:hint="eastAsia" w:ascii="仿宋_GB2312" w:hAnsi="宋体"/>
          <w:color w:val="000000" w:themeColor="text1"/>
          <w:szCs w:val="32"/>
          <w14:textFill>
            <w14:solidFill>
              <w14:schemeClr w14:val="tx1"/>
            </w14:solidFill>
          </w14:textFill>
        </w:rPr>
        <w:t>潘小莉等，</w:t>
      </w:r>
      <w:r>
        <w:rPr>
          <w:rFonts w:hint="eastAsia"/>
          <w:color w:val="000000" w:themeColor="text1"/>
          <w14:textFill>
            <w14:solidFill>
              <w14:schemeClr w14:val="tx1"/>
            </w14:solidFill>
          </w14:textFill>
        </w:rPr>
        <w:t>水稻芽谷浆泥智能化播种平台，</w:t>
      </w:r>
      <w:r>
        <w:rPr>
          <w:rFonts w:hint="eastAsia" w:ascii="仿宋_GB2312"/>
          <w:color w:val="000000" w:themeColor="text1"/>
          <w14:textFill>
            <w14:solidFill>
              <w14:schemeClr w14:val="tx1"/>
            </w14:solidFill>
          </w14:textFill>
        </w:rPr>
        <w:t>3.3.3</w:t>
      </w:r>
    </w:p>
    <w:p w14:paraId="14A2CDA7">
      <w:pPr>
        <w:pStyle w:val="34"/>
        <w:autoSpaceDE w:val="0"/>
        <w:autoSpaceDN w:val="0"/>
        <w:adjustRightInd w:val="0"/>
        <w:spacing w:line="500" w:lineRule="exact"/>
        <w:ind w:firstLine="640"/>
        <w:jc w:val="left"/>
        <w:rPr>
          <w:rFonts w:hint="eastAsia" w:ascii="仿宋_GB2312" w:hAnsi="宋体"/>
          <w:color w:val="000000" w:themeColor="text1"/>
          <w:szCs w:val="32"/>
          <w14:textFill>
            <w14:solidFill>
              <w14:schemeClr w14:val="tx1"/>
            </w14:solidFill>
          </w14:textFill>
        </w:rPr>
      </w:pPr>
      <w:r>
        <w:rPr>
          <w:rFonts w:hint="eastAsia" w:ascii="仿宋_GB2312" w:hAnsi="宋体"/>
          <w:color w:val="000000" w:themeColor="text1"/>
          <w:szCs w:val="32"/>
          <w14:textFill>
            <w14:solidFill>
              <w14:schemeClr w14:val="tx1"/>
            </w14:solidFill>
          </w14:textFill>
        </w:rPr>
        <w:t>4、谷芽准备</w:t>
      </w:r>
    </w:p>
    <w:p w14:paraId="2C405BB2">
      <w:pPr>
        <w:pStyle w:val="34"/>
        <w:autoSpaceDE w:val="0"/>
        <w:autoSpaceDN w:val="0"/>
        <w:adjustRightInd w:val="0"/>
        <w:spacing w:line="500" w:lineRule="exact"/>
        <w:ind w:firstLine="640"/>
        <w:rPr>
          <w:rFonts w:hint="eastAsia" w:ascii="仿宋_GB2312" w:hAnsi="宋体"/>
          <w:color w:val="000000" w:themeColor="text1"/>
          <w:szCs w:val="32"/>
          <w14:textFill>
            <w14:solidFill>
              <w14:schemeClr w14:val="tx1"/>
            </w14:solidFill>
          </w14:textFill>
        </w:rPr>
      </w:pPr>
      <w:r>
        <w:rPr>
          <w:rFonts w:hint="eastAsia" w:ascii="仿宋_GB2312" w:hAnsi="宋体"/>
          <w:color w:val="000000" w:themeColor="text1"/>
          <w:szCs w:val="32"/>
          <w14:textFill>
            <w14:solidFill>
              <w14:schemeClr w14:val="tx1"/>
            </w14:solidFill>
          </w14:textFill>
        </w:rPr>
        <w:t>规定播种所用芽谷为催芽至破胸露白的水稻种子，播种前测定发芽率应不低于85%，并给出了单位面积播种量的建议范围。主要依据如下：（1）“水稻芽谷浆泥智能化播种平台”的核心创新之一即为“标准谷芽播种”。根据专利技术方案，播种所用谷芽为催芽至“破胸露白”的芽谷。（2）潘小莉等人的论文详细记录了发芽率试验结果：杂交稻和常规稻的“平均发芽率均为86%”。论文进一步指出，以杂交稻为例，“每秧盘芽谷按75g计算，每盘约3151粒芽谷，按此发芽率计算秧苗成秧率为87%，发芽率高，秧苗生长均匀适合机械插秧”。这为发芽率不低于85%的要求提供了充分的试验依据。（3）标准中杂交稻</w:t>
      </w:r>
      <w:r>
        <w:rPr>
          <w:rFonts w:ascii="仿宋_GB2312" w:hAnsi="宋体"/>
          <w:color w:val="000000" w:themeColor="text1"/>
          <w:szCs w:val="32"/>
          <w14:textFill>
            <w14:solidFill>
              <w14:schemeClr w14:val="tx1"/>
            </w14:solidFill>
          </w14:textFill>
        </w:rPr>
        <w:t>2</w:t>
      </w:r>
      <w:r>
        <w:rPr>
          <w:rFonts w:hint="eastAsia" w:ascii="仿宋_GB2312" w:hAnsi="宋体"/>
          <w:color w:val="000000" w:themeColor="text1"/>
          <w:szCs w:val="32"/>
          <w14:textFill>
            <w14:solidFill>
              <w14:schemeClr w14:val="tx1"/>
            </w14:solidFill>
          </w14:textFill>
        </w:rPr>
        <w:t>～</w:t>
      </w:r>
      <w:r>
        <w:rPr>
          <w:rFonts w:ascii="仿宋_GB2312" w:hAnsi="宋体"/>
          <w:color w:val="000000" w:themeColor="text1"/>
          <w:szCs w:val="32"/>
          <w14:textFill>
            <w14:solidFill>
              <w14:schemeClr w14:val="tx1"/>
            </w14:solidFill>
          </w14:textFill>
        </w:rPr>
        <w:t>2.5kg/667m²</w:t>
      </w:r>
      <w:r>
        <w:rPr>
          <w:rFonts w:hint="eastAsia" w:ascii="仿宋_GB2312" w:hAnsi="宋体"/>
          <w:color w:val="000000" w:themeColor="text1"/>
          <w:szCs w:val="32"/>
          <w14:textFill>
            <w14:solidFill>
              <w14:schemeClr w14:val="tx1"/>
            </w14:solidFill>
          </w14:textFill>
        </w:rPr>
        <w:t>、常规稻</w:t>
      </w:r>
      <w:r>
        <w:rPr>
          <w:rFonts w:ascii="仿宋_GB2312" w:hAnsi="宋体"/>
          <w:color w:val="000000" w:themeColor="text1"/>
          <w:szCs w:val="32"/>
          <w14:textFill>
            <w14:solidFill>
              <w14:schemeClr w14:val="tx1"/>
            </w14:solidFill>
          </w14:textFill>
        </w:rPr>
        <w:t>2.5</w:t>
      </w:r>
      <w:r>
        <w:rPr>
          <w:rFonts w:hint="eastAsia" w:ascii="仿宋_GB2312" w:hAnsi="宋体"/>
          <w:color w:val="000000" w:themeColor="text1"/>
          <w:szCs w:val="32"/>
          <w14:textFill>
            <w14:solidFill>
              <w14:schemeClr w14:val="tx1"/>
            </w14:solidFill>
          </w14:textFill>
        </w:rPr>
        <w:t>～</w:t>
      </w:r>
      <w:r>
        <w:rPr>
          <w:rFonts w:ascii="仿宋_GB2312" w:hAnsi="宋体"/>
          <w:color w:val="000000" w:themeColor="text1"/>
          <w:szCs w:val="32"/>
          <w14:textFill>
            <w14:solidFill>
              <w14:schemeClr w14:val="tx1"/>
            </w14:solidFill>
          </w14:textFill>
        </w:rPr>
        <w:t>4kg/667m²</w:t>
      </w:r>
      <w:r>
        <w:rPr>
          <w:rFonts w:hint="eastAsia" w:ascii="仿宋_GB2312" w:hAnsi="宋体"/>
          <w:color w:val="000000" w:themeColor="text1"/>
          <w:szCs w:val="32"/>
          <w14:textFill>
            <w14:solidFill>
              <w14:schemeClr w14:val="tx1"/>
            </w14:solidFill>
          </w14:textFill>
        </w:rPr>
        <w:t>的范围，主要是结合起草单位的多年实践经验，并综合考虑了品种差异和当地农艺要求来确定。</w:t>
      </w:r>
    </w:p>
    <w:p w14:paraId="2FB1F7CD">
      <w:pPr>
        <w:pStyle w:val="34"/>
        <w:autoSpaceDE w:val="0"/>
        <w:autoSpaceDN w:val="0"/>
        <w:adjustRightInd w:val="0"/>
        <w:spacing w:line="500" w:lineRule="exact"/>
        <w:ind w:firstLine="640"/>
        <w:jc w:val="left"/>
        <w:rPr>
          <w:rFonts w:ascii="仿宋_GB2312" w:hAnsi="宋体"/>
          <w:color w:val="000000" w:themeColor="text1"/>
          <w:szCs w:val="32"/>
          <w14:textFill>
            <w14:solidFill>
              <w14:schemeClr w14:val="tx1"/>
            </w14:solidFill>
          </w14:textFill>
        </w:rPr>
      </w:pPr>
      <w:r>
        <w:rPr>
          <w:rFonts w:hint="eastAsia" w:ascii="仿宋_GB2312" w:hAnsi="宋体"/>
          <w:color w:val="000000" w:themeColor="text1"/>
          <w:szCs w:val="32"/>
          <w14:textFill>
            <w14:solidFill>
              <w14:schemeClr w14:val="tx1"/>
            </w14:solidFill>
          </w14:textFill>
        </w:rPr>
        <w:t>5、机具准备</w:t>
      </w:r>
    </w:p>
    <w:p w14:paraId="1F36115B">
      <w:pPr>
        <w:pStyle w:val="34"/>
        <w:autoSpaceDE w:val="0"/>
        <w:autoSpaceDN w:val="0"/>
        <w:adjustRightInd w:val="0"/>
        <w:spacing w:line="500" w:lineRule="exact"/>
        <w:ind w:firstLine="640"/>
        <w:rPr>
          <w:rFonts w:hint="eastAsia" w:ascii="仿宋_GB2312" w:hAnsi="宋体"/>
          <w:color w:val="000000" w:themeColor="text1"/>
          <w:szCs w:val="32"/>
          <w14:textFill>
            <w14:solidFill>
              <w14:schemeClr w14:val="tx1"/>
            </w14:solidFill>
          </w14:textFill>
        </w:rPr>
      </w:pPr>
      <w:r>
        <w:rPr>
          <w:rFonts w:hint="eastAsia" w:ascii="仿宋_GB2312" w:hAnsi="宋体"/>
          <w:color w:val="000000" w:themeColor="text1"/>
          <w:szCs w:val="32"/>
          <w14:textFill>
            <w14:solidFill>
              <w14:schemeClr w14:val="tx1"/>
            </w14:solidFill>
          </w14:textFill>
        </w:rPr>
        <w:t>规定了机具核心作业性能指标以及发动机、液压系统、传动系统、电气系统及智能控制系统的检查与调试要求。主要依据如下：（1）根据专利“一种自走式田间水稻秧盘育秧播种机的液压驱动系统”（CN223168699U），该播种机的上浆装置、除杂装置、灌浆装置均采用液压驱动。因此，要求对“液压系统”进行全面检查与调试，并调试取土装置（刮板链）、除杂筛、灌浆装置、排种器等，这些部件正是液压驱动系统的核心执行部件。（2）企业标准《水稻智能播种机》（Q/SF 01-2019）表1“播种作业性能指标”明确规定了播种均匀度合格率≥85%、空穴（格）率≤2%、种子破损率≤1%、施肥稳定性≥90%、灌浆稳定性≥90%、小时生产率≥600盘/h等指标。标准中表1的指标要求与企业标准规定一致。</w:t>
      </w:r>
    </w:p>
    <w:p w14:paraId="205386C8">
      <w:pPr>
        <w:ind w:firstLine="321" w:firstLineChars="100"/>
        <w:rPr>
          <w:rFonts w:hint="eastAsia" w:ascii="仿宋_GB2312" w:hAnsi="宋体"/>
          <w:b/>
          <w:color w:val="000000" w:themeColor="text1"/>
          <w:szCs w:val="32"/>
          <w14:textFill>
            <w14:solidFill>
              <w14:schemeClr w14:val="tx1"/>
            </w14:solidFill>
          </w14:textFill>
        </w:rPr>
      </w:pPr>
      <w:r>
        <w:rPr>
          <w:rFonts w:hint="eastAsia" w:ascii="仿宋_GB2312" w:hAnsi="宋体"/>
          <w:b/>
          <w:color w:val="000000" w:themeColor="text1"/>
          <w:szCs w:val="32"/>
          <w:lang w:val="zh-CN"/>
          <w14:textFill>
            <w14:solidFill>
              <w14:schemeClr w14:val="tx1"/>
            </w14:solidFill>
          </w14:textFill>
        </w:rPr>
        <w:t>（</w:t>
      </w:r>
      <w:r>
        <w:rPr>
          <w:rFonts w:hint="eastAsia" w:ascii="仿宋_GB2312" w:hAnsi="宋体"/>
          <w:b/>
          <w:color w:val="000000" w:themeColor="text1"/>
          <w:szCs w:val="32"/>
          <w14:textFill>
            <w14:solidFill>
              <w14:schemeClr w14:val="tx1"/>
            </w14:solidFill>
          </w14:textFill>
        </w:rPr>
        <w:t>三）播种作业</w:t>
      </w:r>
    </w:p>
    <w:p w14:paraId="73E5ED29">
      <w:pPr>
        <w:pStyle w:val="3"/>
        <w:ind w:firstLine="640"/>
        <w:rPr>
          <w:rFonts w:hint="eastAsia"/>
        </w:rPr>
      </w:pPr>
      <w:r>
        <w:rPr>
          <w:rFonts w:hint="eastAsia"/>
        </w:rPr>
        <w:t>规定了水稻原位浆泥智能播种机从取浆到播种完成的全部田间操作流程，包括原位取浆、泥浆除杂、放盘、施壮秧剂、上泥浆、灌浆泥、播种等</w:t>
      </w:r>
      <w:r>
        <w:rPr>
          <w:rFonts w:hint="eastAsia" w:ascii="仿宋_GB2312"/>
        </w:rPr>
        <w:t>7</w:t>
      </w:r>
      <w:r>
        <w:rPr>
          <w:rFonts w:hint="eastAsia"/>
        </w:rPr>
        <w:t>个环节。</w:t>
      </w:r>
    </w:p>
    <w:p w14:paraId="402AC8C8">
      <w:pPr>
        <w:pStyle w:val="4"/>
        <w:ind w:firstLine="640"/>
        <w:rPr>
          <w:rFonts w:hint="eastAsia" w:ascii="宋体" w:eastAsia="仿宋_GB2312"/>
          <w:kern w:val="0"/>
          <w:sz w:val="32"/>
        </w:rPr>
      </w:pPr>
      <w:r>
        <w:rPr>
          <w:rFonts w:hint="eastAsia" w:ascii="宋体" w:eastAsia="仿宋_GB2312"/>
          <w:kern w:val="0"/>
          <w:sz w:val="32"/>
        </w:rPr>
        <w:t>1、原位取浆</w:t>
      </w:r>
    </w:p>
    <w:p w14:paraId="7E143AC0">
      <w:pPr>
        <w:pStyle w:val="4"/>
        <w:ind w:firstLine="640"/>
        <w:rPr>
          <w:rFonts w:hint="eastAsia" w:ascii="宋体" w:eastAsia="仿宋_GB2312"/>
          <w:kern w:val="0"/>
          <w:sz w:val="32"/>
        </w:rPr>
      </w:pPr>
      <w:r>
        <w:rPr>
          <w:rFonts w:hint="eastAsia" w:ascii="宋体" w:eastAsia="仿宋_GB2312"/>
          <w:kern w:val="0"/>
          <w:sz w:val="32"/>
        </w:rPr>
        <w:t>规定播种机就位后启动上浆系统，上浆机直接从秧田内抽取泥浆，流入贮浆罐备用，取浆过程中需观察泥浆浓度，确保泥浆呈流质状、无大颗粒石块或杂草。主要依据“水稻芽谷浆泥智能化播种平台”专利</w:t>
      </w:r>
      <w:r>
        <w:rPr>
          <w:rFonts w:hint="eastAsia" w:ascii="仿宋_GB2312" w:eastAsia="仿宋_GB2312"/>
          <w:kern w:val="0"/>
          <w:sz w:val="32"/>
        </w:rPr>
        <w:t>（ZL201720564944.0）</w:t>
      </w:r>
      <w:r>
        <w:rPr>
          <w:rFonts w:hint="eastAsia" w:ascii="宋体" w:eastAsia="仿宋_GB2312"/>
          <w:kern w:val="0"/>
          <w:sz w:val="32"/>
        </w:rPr>
        <w:t>的核心创新——“使用大田浆泥作育秧基质”，上浆系统“直接从秧田内抽取泥浆”，体现了“原位”的技术内涵；其技术实现依托“一种自走式田间水稻秧盘育秧播种机的液压驱动系统”专利中的上浆装置设计，通过刮板链、第一齿轮马达和第一液压缸的协同工作实现田间取浆。</w:t>
      </w:r>
    </w:p>
    <w:p w14:paraId="68A3799D">
      <w:pPr>
        <w:pStyle w:val="4"/>
        <w:ind w:firstLine="640"/>
        <w:rPr>
          <w:rFonts w:hint="eastAsia" w:ascii="宋体" w:eastAsia="仿宋_GB2312"/>
          <w:kern w:val="0"/>
          <w:sz w:val="32"/>
        </w:rPr>
      </w:pPr>
      <w:r>
        <w:rPr>
          <w:rFonts w:hint="eastAsia" w:ascii="仿宋_GB2312" w:eastAsia="仿宋_GB2312"/>
          <w:kern w:val="0"/>
          <w:sz w:val="32"/>
        </w:rPr>
        <w:t>2、</w:t>
      </w:r>
      <w:r>
        <w:rPr>
          <w:rFonts w:hint="eastAsia" w:ascii="宋体" w:eastAsia="仿宋_GB2312"/>
          <w:kern w:val="0"/>
          <w:sz w:val="32"/>
        </w:rPr>
        <w:t>泥浆除杂</w:t>
      </w:r>
    </w:p>
    <w:p w14:paraId="5C922517">
      <w:pPr>
        <w:pStyle w:val="4"/>
        <w:ind w:firstLine="640"/>
        <w:rPr>
          <w:rFonts w:hint="eastAsia" w:ascii="宋体" w:eastAsia="仿宋_GB2312"/>
          <w:kern w:val="0"/>
          <w:sz w:val="32"/>
        </w:rPr>
      </w:pPr>
      <w:r>
        <w:rPr>
          <w:rFonts w:hint="eastAsia" w:ascii="宋体" w:eastAsia="仿宋_GB2312"/>
          <w:kern w:val="0"/>
          <w:sz w:val="32"/>
        </w:rPr>
        <w:t>规定使用孔径≤10mm的除杂筛对泥浆进行过滤，作业中随时</w:t>
      </w:r>
      <w:r>
        <w:rPr>
          <w:rFonts w:hint="eastAsia" w:ascii="仿宋_GB2312" w:eastAsia="仿宋_GB2312"/>
          <w:kern w:val="0"/>
          <w:sz w:val="32"/>
        </w:rPr>
        <w:t>观察除杂筛运行状况，发现堵塞或破损及时清理或更换。条款中“孔径≤10mm”的规定主要依据企业标准《水稻智能播种机》（Q/SF 01-2019）第4.1.6条“过滤的浆泥应不含有大于10mm砂石”的要求；除杂筛的结构与工作原理则依据液压驱动系统专利中的除杂装置设计，通</w:t>
      </w:r>
      <w:r>
        <w:rPr>
          <w:rFonts w:hint="eastAsia" w:ascii="宋体" w:eastAsia="仿宋_GB2312"/>
          <w:kern w:val="0"/>
          <w:sz w:val="32"/>
        </w:rPr>
        <w:t>过第三齿轮马达带动除杂筛震动实现泥浆过滤。</w:t>
      </w:r>
    </w:p>
    <w:p w14:paraId="5EB51ECE">
      <w:pPr>
        <w:pStyle w:val="4"/>
        <w:ind w:firstLine="640"/>
        <w:rPr>
          <w:rFonts w:hint="eastAsia" w:ascii="仿宋_GB2312" w:eastAsia="仿宋_GB2312"/>
          <w:kern w:val="0"/>
          <w:sz w:val="32"/>
        </w:rPr>
      </w:pPr>
      <w:r>
        <w:rPr>
          <w:rFonts w:hint="eastAsia" w:ascii="仿宋_GB2312" w:eastAsia="仿宋_GB2312"/>
          <w:kern w:val="0"/>
          <w:sz w:val="32"/>
        </w:rPr>
        <w:t>3、放盘</w:t>
      </w:r>
    </w:p>
    <w:p w14:paraId="5FF1B0BD">
      <w:pPr>
        <w:pStyle w:val="4"/>
        <w:ind w:firstLine="640"/>
        <w:rPr>
          <w:rFonts w:hint="eastAsia" w:ascii="仿宋_GB2312" w:eastAsia="仿宋_GB2312"/>
          <w:kern w:val="0"/>
          <w:sz w:val="32"/>
        </w:rPr>
      </w:pPr>
      <w:r>
        <w:rPr>
          <w:rFonts w:hint="eastAsia" w:ascii="仿宋_GB2312" w:eastAsia="仿宋_GB2312"/>
          <w:kern w:val="0"/>
          <w:sz w:val="32"/>
        </w:rPr>
        <w:t>规定人工将空秧盘平铺于秧盘传送带上，每次装盘数量宜为100盘，并按装盘数量配备相应的芽谷和肥料。主要依据如下：潘小莉等人的论文指出，秧盘传送装置由“电机、传送带和支架组成，作用是使秧盘以一定的速度依次经过施肥箱、泥浆罐和播种箱以完成播种全部作业，指出该机播种效率为“1200盘/h”，按100盘一组计算，每组作业时间约5分钟，便于组织芽谷、肥料的补充和秧盘的集中摆放，“每100盘为一组”的规定与播种机的作业能力相匹配。</w:t>
      </w:r>
    </w:p>
    <w:p w14:paraId="292E4E16">
      <w:pPr>
        <w:pStyle w:val="4"/>
        <w:ind w:firstLine="640"/>
        <w:rPr>
          <w:rFonts w:hint="eastAsia" w:ascii="仿宋_GB2312" w:eastAsia="仿宋_GB2312"/>
          <w:kern w:val="0"/>
          <w:sz w:val="32"/>
        </w:rPr>
      </w:pPr>
      <w:r>
        <w:rPr>
          <w:rFonts w:hint="eastAsia" w:ascii="仿宋_GB2312" w:eastAsia="仿宋_GB2312"/>
          <w:kern w:val="0"/>
          <w:sz w:val="32"/>
        </w:rPr>
        <w:t>4、施壮秧剂</w:t>
      </w:r>
    </w:p>
    <w:p w14:paraId="1967B2A9">
      <w:pPr>
        <w:pStyle w:val="4"/>
        <w:ind w:firstLine="640"/>
        <w:rPr>
          <w:rFonts w:hint="eastAsia" w:ascii="仿宋_GB2312" w:eastAsia="仿宋_GB2312"/>
          <w:kern w:val="0"/>
          <w:sz w:val="32"/>
        </w:rPr>
      </w:pPr>
      <w:r>
        <w:rPr>
          <w:rFonts w:hint="eastAsia" w:ascii="仿宋_GB2312" w:eastAsia="仿宋_GB2312"/>
          <w:kern w:val="0"/>
          <w:sz w:val="32"/>
        </w:rPr>
        <w:t>规定秧盘随传送带进入施肥工位时，施肥系统按预设的施肥量将壮秧剂均匀施入秧盘底部，施肥稳定性按表1的规定执行（≥90%）。主要依据如下：（1）企业标准《水稻智能播种机》（</w:t>
      </w:r>
      <w:r>
        <w:rPr>
          <w:rFonts w:ascii="仿宋_GB2312" w:eastAsia="仿宋_GB2312"/>
          <w:kern w:val="0"/>
          <w:sz w:val="32"/>
        </w:rPr>
        <w:t>Q/SF 01-2019</w:t>
      </w:r>
      <w:r>
        <w:rPr>
          <w:rFonts w:hint="eastAsia" w:ascii="仿宋_GB2312" w:eastAsia="仿宋_GB2312"/>
          <w:kern w:val="0"/>
          <w:sz w:val="32"/>
        </w:rPr>
        <w:t>）表</w:t>
      </w:r>
      <w:r>
        <w:rPr>
          <w:rFonts w:ascii="仿宋_GB2312" w:eastAsia="仿宋_GB2312"/>
          <w:kern w:val="0"/>
          <w:sz w:val="32"/>
        </w:rPr>
        <w:t>1</w:t>
      </w:r>
      <w:r>
        <w:rPr>
          <w:rFonts w:hint="eastAsia" w:ascii="仿宋_GB2312" w:eastAsia="仿宋_GB2312"/>
          <w:kern w:val="0"/>
          <w:sz w:val="32"/>
        </w:rPr>
        <w:t>明确规定“施肥稳定性≥</w:t>
      </w:r>
      <w:r>
        <w:rPr>
          <w:rFonts w:ascii="仿宋_GB2312" w:eastAsia="仿宋_GB2312"/>
          <w:kern w:val="0"/>
          <w:sz w:val="32"/>
        </w:rPr>
        <w:t>90%”</w:t>
      </w:r>
      <w:r>
        <w:rPr>
          <w:rFonts w:hint="eastAsia" w:ascii="仿宋_GB2312" w:eastAsia="仿宋_GB2312"/>
          <w:kern w:val="0"/>
          <w:sz w:val="32"/>
        </w:rPr>
        <w:t>，并给出了详细的试验方法：在只施肥的工作状态下，每隔</w:t>
      </w:r>
      <w:r>
        <w:rPr>
          <w:rFonts w:ascii="仿宋_GB2312" w:eastAsia="仿宋_GB2312"/>
          <w:kern w:val="0"/>
          <w:sz w:val="32"/>
        </w:rPr>
        <w:t>3</w:t>
      </w:r>
      <w:r>
        <w:rPr>
          <w:rFonts w:hint="eastAsia" w:ascii="仿宋_GB2312" w:eastAsia="仿宋_GB2312"/>
          <w:kern w:val="0"/>
          <w:sz w:val="32"/>
        </w:rPr>
        <w:t>盘抽取一盘共抽取</w:t>
      </w:r>
      <w:r>
        <w:rPr>
          <w:rFonts w:ascii="仿宋_GB2312" w:eastAsia="仿宋_GB2312"/>
          <w:kern w:val="0"/>
          <w:sz w:val="32"/>
        </w:rPr>
        <w:t>10</w:t>
      </w:r>
      <w:r>
        <w:rPr>
          <w:rFonts w:hint="eastAsia" w:ascii="仿宋_GB2312" w:eastAsia="仿宋_GB2312"/>
          <w:kern w:val="0"/>
          <w:sz w:val="32"/>
        </w:rPr>
        <w:t>盘，称量记录每盘肥料重量，计算标准差及变异系数。（2）潘小莉等人的论文指出施肥量为“</w:t>
      </w:r>
      <w:r>
        <w:rPr>
          <w:rFonts w:ascii="仿宋_GB2312" w:eastAsia="仿宋_GB2312"/>
          <w:kern w:val="0"/>
          <w:sz w:val="32"/>
        </w:rPr>
        <w:t>20</w:t>
      </w:r>
      <w:r>
        <w:rPr>
          <w:rFonts w:hint="eastAsia" w:ascii="仿宋_GB2312" w:eastAsia="仿宋_GB2312"/>
          <w:kern w:val="0"/>
          <w:sz w:val="32"/>
        </w:rPr>
        <w:t>～</w:t>
      </w:r>
      <w:r>
        <w:rPr>
          <w:rFonts w:ascii="仿宋_GB2312" w:eastAsia="仿宋_GB2312"/>
          <w:kern w:val="0"/>
          <w:sz w:val="32"/>
        </w:rPr>
        <w:t>50g/</w:t>
      </w:r>
      <w:r>
        <w:rPr>
          <w:rFonts w:hint="eastAsia" w:ascii="仿宋_GB2312" w:eastAsia="仿宋_GB2312"/>
          <w:kern w:val="0"/>
          <w:sz w:val="32"/>
        </w:rPr>
        <w:t xml:space="preserve">盘”。实际施肥量需根据“土壤肥力、品种特性及当地农艺要求确定。 </w:t>
      </w:r>
    </w:p>
    <w:p w14:paraId="262D90C0">
      <w:pPr>
        <w:pStyle w:val="4"/>
        <w:ind w:firstLine="640"/>
        <w:rPr>
          <w:rFonts w:hint="eastAsia" w:ascii="仿宋_GB2312" w:eastAsia="仿宋_GB2312"/>
          <w:kern w:val="0"/>
          <w:sz w:val="32"/>
        </w:rPr>
      </w:pPr>
      <w:r>
        <w:rPr>
          <w:rFonts w:hint="eastAsia" w:ascii="仿宋_GB2312" w:eastAsia="仿宋_GB2312"/>
          <w:kern w:val="0"/>
          <w:sz w:val="32"/>
        </w:rPr>
        <w:t>5、上泥浆</w:t>
      </w:r>
    </w:p>
    <w:p w14:paraId="638A2604">
      <w:pPr>
        <w:pStyle w:val="4"/>
        <w:ind w:firstLine="640"/>
        <w:rPr>
          <w:rFonts w:hint="eastAsia" w:ascii="仿宋_GB2312" w:eastAsia="仿宋_GB2312"/>
          <w:kern w:val="0"/>
          <w:sz w:val="32"/>
        </w:rPr>
      </w:pPr>
      <w:r>
        <w:rPr>
          <w:rFonts w:hint="eastAsia" w:ascii="仿宋_GB2312" w:eastAsia="仿宋_GB2312"/>
          <w:kern w:val="0"/>
          <w:sz w:val="32"/>
        </w:rPr>
        <w:t>规定秧盘进入灌浆工位后，打开贮浆罐的注浆闸，将过滤后的泥浆注入秧盘内，填满秧盘并略高于盘面。主要依据如下：潘小莉等人的论文对浆泥箱容量进行了参数设计：“育秧盘内部尺寸为</w:t>
      </w:r>
      <w:r>
        <w:rPr>
          <w:rFonts w:ascii="仿宋_GB2312" w:eastAsia="仿宋_GB2312"/>
          <w:kern w:val="0"/>
          <w:sz w:val="32"/>
        </w:rPr>
        <w:t>580mm×280mm×25mm</w:t>
      </w:r>
      <w:r>
        <w:rPr>
          <w:rFonts w:hint="eastAsia" w:ascii="仿宋_GB2312" w:eastAsia="仿宋_GB2312"/>
          <w:kern w:val="0"/>
          <w:sz w:val="32"/>
        </w:rPr>
        <w:t>，每盘浆泥用量为</w:t>
      </w:r>
      <w:r>
        <w:rPr>
          <w:rFonts w:ascii="仿宋_GB2312" w:eastAsia="仿宋_GB2312"/>
          <w:kern w:val="0"/>
          <w:sz w:val="32"/>
        </w:rPr>
        <w:t>3.3L”</w:t>
      </w:r>
      <w:r>
        <w:rPr>
          <w:rFonts w:hint="eastAsia" w:ascii="仿宋_GB2312" w:eastAsia="仿宋_GB2312"/>
          <w:kern w:val="0"/>
          <w:sz w:val="32"/>
        </w:rPr>
        <w:t>。浆泥箱容量设计为</w:t>
      </w:r>
      <w:r>
        <w:rPr>
          <w:rFonts w:ascii="仿宋_GB2312" w:eastAsia="仿宋_GB2312"/>
          <w:kern w:val="0"/>
          <w:sz w:val="32"/>
        </w:rPr>
        <w:t>523L</w:t>
      </w:r>
      <w:r>
        <w:rPr>
          <w:rFonts w:hint="eastAsia" w:ascii="仿宋_GB2312" w:eastAsia="仿宋_GB2312"/>
          <w:kern w:val="0"/>
          <w:sz w:val="32"/>
        </w:rPr>
        <w:t>，“可满足</w:t>
      </w:r>
      <w:r>
        <w:rPr>
          <w:rFonts w:ascii="仿宋_GB2312" w:eastAsia="仿宋_GB2312"/>
          <w:kern w:val="0"/>
          <w:sz w:val="32"/>
        </w:rPr>
        <w:t>150</w:t>
      </w:r>
      <w:r>
        <w:rPr>
          <w:rFonts w:hint="eastAsia" w:ascii="仿宋_GB2312" w:eastAsia="仿宋_GB2312"/>
          <w:kern w:val="0"/>
          <w:sz w:val="32"/>
        </w:rPr>
        <w:t>盘浆泥需求”，同时，企业标准《水稻智能播种机》（</w:t>
      </w:r>
      <w:r>
        <w:rPr>
          <w:rFonts w:ascii="仿宋_GB2312" w:eastAsia="仿宋_GB2312"/>
          <w:kern w:val="0"/>
          <w:sz w:val="32"/>
        </w:rPr>
        <w:t>Q/SF 01-2019</w:t>
      </w:r>
      <w:r>
        <w:rPr>
          <w:rFonts w:hint="eastAsia" w:ascii="仿宋_GB2312" w:eastAsia="仿宋_GB2312"/>
          <w:kern w:val="0"/>
          <w:sz w:val="32"/>
        </w:rPr>
        <w:t>）表</w:t>
      </w:r>
      <w:r>
        <w:rPr>
          <w:rFonts w:ascii="仿宋_GB2312" w:eastAsia="仿宋_GB2312"/>
          <w:kern w:val="0"/>
          <w:sz w:val="32"/>
        </w:rPr>
        <w:t>1</w:t>
      </w:r>
      <w:r>
        <w:rPr>
          <w:rFonts w:hint="eastAsia" w:ascii="仿宋_GB2312" w:eastAsia="仿宋_GB2312"/>
          <w:kern w:val="0"/>
          <w:sz w:val="32"/>
        </w:rPr>
        <w:t>规定“灌浆稳定性≥</w:t>
      </w:r>
      <w:r>
        <w:rPr>
          <w:rFonts w:ascii="仿宋_GB2312" w:eastAsia="仿宋_GB2312"/>
          <w:kern w:val="0"/>
          <w:sz w:val="32"/>
        </w:rPr>
        <w:t>90%”</w:t>
      </w:r>
      <w:r>
        <w:rPr>
          <w:rFonts w:hint="eastAsia" w:ascii="仿宋_GB2312" w:eastAsia="仿宋_GB2312"/>
          <w:kern w:val="0"/>
          <w:sz w:val="32"/>
        </w:rPr>
        <w:t>，试验方法为“灌浆后秧盘应无未覆盖的区域为符合”，为“填满秧盘并略高于盘面”的灌浆量提供了理论依据。</w:t>
      </w:r>
    </w:p>
    <w:p w14:paraId="1E838F10">
      <w:pPr>
        <w:pStyle w:val="4"/>
        <w:ind w:firstLine="640"/>
        <w:rPr>
          <w:rFonts w:hint="eastAsia" w:ascii="仿宋_GB2312" w:eastAsia="仿宋_GB2312"/>
          <w:kern w:val="0"/>
          <w:sz w:val="32"/>
        </w:rPr>
      </w:pPr>
      <w:r>
        <w:rPr>
          <w:rFonts w:hint="eastAsia" w:ascii="仿宋_GB2312" w:eastAsia="仿宋_GB2312"/>
          <w:kern w:val="0"/>
          <w:sz w:val="32"/>
        </w:rPr>
        <w:t>6、灌浆泥</w:t>
      </w:r>
    </w:p>
    <w:p w14:paraId="191EDD18">
      <w:pPr>
        <w:pStyle w:val="4"/>
        <w:ind w:firstLine="640"/>
        <w:rPr>
          <w:rFonts w:hint="eastAsia" w:ascii="仿宋_GB2312" w:eastAsia="仿宋_GB2312"/>
          <w:kern w:val="0"/>
          <w:sz w:val="32"/>
        </w:rPr>
      </w:pPr>
      <w:r>
        <w:rPr>
          <w:rFonts w:hint="eastAsia" w:ascii="仿宋_GB2312" w:eastAsia="仿宋_GB2312"/>
          <w:kern w:val="0"/>
          <w:sz w:val="32"/>
        </w:rPr>
        <w:t>规定注浆完成后，由浆泥平面刷板将高于盘面的多余泥浆刮平，使盘内泥浆厚度均匀一致、表面平整，刮平的泥浆应回落至田间。主要依据如下：潘小莉等人的论文指出，播种装置“由电机、芽谷箱及滚动毛刷等组成”，芽谷箱“由两个对称结构组成可完成</w:t>
      </w:r>
      <w:r>
        <w:rPr>
          <w:rFonts w:ascii="仿宋_GB2312" w:eastAsia="仿宋_GB2312"/>
          <w:kern w:val="0"/>
          <w:sz w:val="32"/>
        </w:rPr>
        <w:t>2</w:t>
      </w:r>
      <w:r>
        <w:rPr>
          <w:rFonts w:hint="eastAsia" w:ascii="仿宋_GB2312" w:eastAsia="仿宋_GB2312"/>
          <w:kern w:val="0"/>
          <w:sz w:val="32"/>
        </w:rPr>
        <w:t>次落种，同时分别配备两个直径</w:t>
      </w:r>
      <w:r>
        <w:rPr>
          <w:rFonts w:ascii="仿宋_GB2312" w:eastAsia="仿宋_GB2312"/>
          <w:kern w:val="0"/>
          <w:sz w:val="32"/>
        </w:rPr>
        <w:t>150mm</w:t>
      </w:r>
      <w:r>
        <w:rPr>
          <w:rFonts w:hint="eastAsia" w:ascii="仿宋_GB2312" w:eastAsia="仿宋_GB2312"/>
          <w:kern w:val="0"/>
          <w:sz w:val="32"/>
        </w:rPr>
        <w:t>滚动毛刷刷平秧盘内的芽谷”。虽此处描述的是播种后的芽谷刮平，但“滚动毛刷刷平”的原理同样适用于泥浆刮平。论文进一步指出“在毛刷</w:t>
      </w:r>
      <w:r>
        <w:rPr>
          <w:rFonts w:ascii="仿宋_GB2312" w:eastAsia="仿宋_GB2312"/>
          <w:kern w:val="0"/>
          <w:sz w:val="32"/>
        </w:rPr>
        <w:t>2</w:t>
      </w:r>
      <w:r>
        <w:rPr>
          <w:rFonts w:hint="eastAsia" w:ascii="仿宋_GB2312" w:eastAsia="仿宋_GB2312"/>
          <w:kern w:val="0"/>
          <w:sz w:val="32"/>
        </w:rPr>
        <w:t>次铺平作用下，每秧盘和总播种均匀度都高于</w:t>
      </w:r>
      <w:r>
        <w:rPr>
          <w:rFonts w:ascii="仿宋_GB2312" w:eastAsia="仿宋_GB2312"/>
          <w:kern w:val="0"/>
          <w:sz w:val="32"/>
        </w:rPr>
        <w:t>93%”</w:t>
      </w:r>
      <w:r>
        <w:rPr>
          <w:rFonts w:hint="eastAsia" w:ascii="仿宋_GB2312" w:eastAsia="仿宋_GB2312"/>
          <w:kern w:val="0"/>
          <w:sz w:val="32"/>
        </w:rPr>
        <w:t>，验证了刮平装置的有效性。</w:t>
      </w:r>
    </w:p>
    <w:p w14:paraId="170ADFFD">
      <w:pPr>
        <w:pStyle w:val="4"/>
        <w:ind w:firstLine="640"/>
        <w:rPr>
          <w:rFonts w:hint="eastAsia" w:ascii="仿宋_GB2312" w:eastAsia="仿宋_GB2312"/>
          <w:kern w:val="0"/>
          <w:sz w:val="32"/>
        </w:rPr>
      </w:pPr>
      <w:r>
        <w:rPr>
          <w:rFonts w:hint="eastAsia" w:ascii="仿宋_GB2312" w:eastAsia="仿宋_GB2312"/>
          <w:kern w:val="0"/>
          <w:sz w:val="32"/>
        </w:rPr>
        <w:t>7、播种</w:t>
      </w:r>
    </w:p>
    <w:p w14:paraId="34E45164">
      <w:pPr>
        <w:pStyle w:val="4"/>
        <w:ind w:firstLine="640"/>
        <w:rPr>
          <w:rFonts w:hint="eastAsia" w:ascii="仿宋_GB2312" w:eastAsia="仿宋_GB2312"/>
          <w:kern w:val="0"/>
          <w:sz w:val="32"/>
        </w:rPr>
      </w:pPr>
      <w:r>
        <w:rPr>
          <w:rFonts w:hint="eastAsia" w:ascii="仿宋_GB2312" w:eastAsia="仿宋_GB2312"/>
          <w:kern w:val="0"/>
          <w:sz w:val="32"/>
        </w:rPr>
        <w:t>规定刮平泥浆后秧盘进入播种工位，播种系统按设定的每盘播种量将催芽至破胸露白的芽谷均匀播撒于泥浆表面，并给出了播种量范围（杂交稻75～100g/盘，常规稻100～150g/盘）。播种后秧盘从传送带末端移出，及时摆放于秧田上，每100盘为一组集中放置。播种量范围“杂交稻75～100g/盘、常规稻100～150g/盘”主要参考企业标准第4.2.1条的建议值，并通过潘小莉等的田间试验论文的得到了充分验证——杂交稻平均每盘75g、常规稻平均每盘125g，发芽率均为86%、成秧率87%，验证了该播种量的合理性。播种装置采用“2次播种、2次毛刷铺平”的结构设计，“落种量采用调频器控制开口宽度”，实现了智能化定量播种。“每100盘为一组集中放置”的规定与播种效率“1200盘/h”相匹配，形成了完整的作业循环组织模式。</w:t>
      </w:r>
    </w:p>
    <w:p w14:paraId="4B89F3C1">
      <w:pPr>
        <w:ind w:firstLine="321" w:firstLineChars="100"/>
        <w:rPr>
          <w:rFonts w:ascii="仿宋_GB2312" w:hAnsi="宋体"/>
          <w:b/>
          <w:color w:val="000000" w:themeColor="text1"/>
          <w:szCs w:val="32"/>
          <w:lang w:val="zh-CN"/>
          <w14:textFill>
            <w14:solidFill>
              <w14:schemeClr w14:val="tx1"/>
            </w14:solidFill>
          </w14:textFill>
        </w:rPr>
      </w:pPr>
      <w:r>
        <w:rPr>
          <w:rFonts w:hint="eastAsia" w:ascii="仿宋_GB2312" w:hAnsi="宋体"/>
          <w:b/>
          <w:color w:val="000000" w:themeColor="text1"/>
          <w:szCs w:val="32"/>
          <w:lang w:val="zh-CN"/>
          <w14:textFill>
            <w14:solidFill>
              <w14:schemeClr w14:val="tx1"/>
            </w14:solidFill>
          </w14:textFill>
        </w:rPr>
        <w:t>（</w:t>
      </w:r>
      <w:r>
        <w:rPr>
          <w:rFonts w:hint="eastAsia" w:ascii="仿宋_GB2312" w:hAnsi="宋体"/>
          <w:b/>
          <w:color w:val="000000" w:themeColor="text1"/>
          <w:szCs w:val="32"/>
          <w14:textFill>
            <w14:solidFill>
              <w14:schemeClr w14:val="tx1"/>
            </w14:solidFill>
          </w14:textFill>
        </w:rPr>
        <w:t>四）秧田管理</w:t>
      </w:r>
    </w:p>
    <w:p w14:paraId="6DB59853">
      <w:pPr>
        <w:pStyle w:val="4"/>
        <w:ind w:firstLine="640"/>
        <w:rPr>
          <w:rFonts w:ascii="仿宋_GB2312" w:eastAsia="仿宋_GB2312"/>
          <w:kern w:val="0"/>
          <w:sz w:val="32"/>
        </w:rPr>
      </w:pPr>
      <w:r>
        <w:rPr>
          <w:rFonts w:hint="eastAsia" w:ascii="仿宋_GB2312" w:eastAsia="仿宋_GB2312"/>
          <w:kern w:val="0"/>
          <w:sz w:val="32"/>
        </w:rPr>
        <w:t>涵盖了覆膜、水分管理、温度管理、揭膜炼苗、施肥管理和病虫害防治六个方面的技术要求，是播种作业完成后保障秧苗正常生长发育的关键环节。</w:t>
      </w:r>
    </w:p>
    <w:p w14:paraId="000DFC93">
      <w:pPr>
        <w:pStyle w:val="34"/>
        <w:autoSpaceDE w:val="0"/>
        <w:autoSpaceDN w:val="0"/>
        <w:adjustRightInd w:val="0"/>
        <w:spacing w:line="500" w:lineRule="exact"/>
        <w:ind w:firstLine="640"/>
        <w:jc w:val="left"/>
        <w:rPr>
          <w:rFonts w:hint="eastAsia" w:ascii="仿宋_GB2312"/>
          <w:kern w:val="0"/>
        </w:rPr>
      </w:pPr>
      <w:r>
        <w:rPr>
          <w:rFonts w:hint="eastAsia" w:ascii="仿宋_GB2312" w:hAnsi="宋体"/>
          <w:color w:val="000000" w:themeColor="text1"/>
          <w:szCs w:val="32"/>
          <w14:textFill>
            <w14:solidFill>
              <w14:schemeClr w14:val="tx1"/>
            </w14:solidFill>
          </w14:textFill>
        </w:rPr>
        <w:t>1、</w:t>
      </w:r>
      <w:r>
        <w:rPr>
          <w:rFonts w:hint="eastAsia" w:ascii="仿宋_GB2312"/>
          <w:kern w:val="0"/>
        </w:rPr>
        <w:t>覆膜</w:t>
      </w:r>
    </w:p>
    <w:p w14:paraId="1D6A321B">
      <w:pPr>
        <w:pStyle w:val="34"/>
        <w:autoSpaceDE w:val="0"/>
        <w:autoSpaceDN w:val="0"/>
        <w:adjustRightInd w:val="0"/>
        <w:spacing w:line="500" w:lineRule="exact"/>
        <w:ind w:firstLine="640"/>
        <w:jc w:val="left"/>
        <w:rPr>
          <w:rFonts w:hint="eastAsia" w:ascii="仿宋_GB2312"/>
          <w:kern w:val="0"/>
        </w:rPr>
      </w:pPr>
      <w:r>
        <w:rPr>
          <w:rFonts w:hint="eastAsia" w:ascii="仿宋_GB2312"/>
          <w:kern w:val="0"/>
        </w:rPr>
        <w:t>规定播种摆盘后及时覆盖农膜，采用竹竿拱架支撑，拱架高度30～50cm，膜四周用土压实密封，并应检查薄膜完整性，发现破损及时修补或更换。主要依据水稻育秧的通用覆膜保温技术。在田间育秧中，播种后覆膜是保温保湿、防御低温冷害和倒春寒的常规措施。拱架支撑的覆膜方式可避免农膜直接贴附于秧盘表面影响出苗，30～50cm的拱架高度是水稻育秧中拱棚的常见高度范围，既能形成有效的保温空间，又便于通风操作。膜四周用土压实密封是为了保证棚内温度稳定，防止被风吹开。覆膜期间检查薄膜完整性并及时修补，是防止棚内温度骤降、确保保温效果的操作保障。</w:t>
      </w:r>
    </w:p>
    <w:p w14:paraId="2F34FB7D">
      <w:pPr>
        <w:pStyle w:val="34"/>
        <w:autoSpaceDE w:val="0"/>
        <w:autoSpaceDN w:val="0"/>
        <w:adjustRightInd w:val="0"/>
        <w:spacing w:line="500" w:lineRule="exact"/>
        <w:ind w:firstLine="640"/>
        <w:jc w:val="left"/>
        <w:rPr>
          <w:rFonts w:hint="eastAsia" w:ascii="仿宋_GB2312"/>
          <w:kern w:val="0"/>
        </w:rPr>
      </w:pPr>
      <w:r>
        <w:rPr>
          <w:rFonts w:hint="eastAsia" w:ascii="仿宋_GB2312"/>
          <w:kern w:val="0"/>
        </w:rPr>
        <w:t>2、水分管理</w:t>
      </w:r>
    </w:p>
    <w:p w14:paraId="541526D8">
      <w:pPr>
        <w:pStyle w:val="34"/>
        <w:autoSpaceDE w:val="0"/>
        <w:autoSpaceDN w:val="0"/>
        <w:adjustRightInd w:val="0"/>
        <w:spacing w:line="500" w:lineRule="exact"/>
        <w:ind w:firstLine="640"/>
        <w:jc w:val="left"/>
        <w:rPr>
          <w:rFonts w:hint="eastAsia" w:ascii="仿宋_GB2312"/>
          <w:kern w:val="0"/>
        </w:rPr>
      </w:pPr>
      <w:r>
        <w:rPr>
          <w:rFonts w:hint="eastAsia" w:ascii="仿宋_GB2312"/>
          <w:kern w:val="0"/>
        </w:rPr>
        <w:t>规定秧田四周开挖排水沟，沟深20～30cm，保持排水畅通；播种后至出苗前保持秧田湿润，出苗后根据天气和土壤墒情进行灌排水，保持秧田干湿交替。主要依据水稻旱育秧和湿润育秧的通用水分管理技术。秧田四周开挖排水沟是防止田间积水、避免烂种烂芽的基本措施，20～30cm的沟深是稻田排水沟的常见规格。播种后至出苗前保持秧田湿润，是因为破胸露白的芽谷在出苗阶段对水分需求较高，湿润条件有利于种子吸水发芽；出苗后采用干湿交替的水分管理方式，既能满足秧苗生长对水分的需求，又能促进根系下扎、增强秧苗抗逆性，这是水稻育秧中广泛应用的管水原则。本标准所涉播种技术将秧盘直接放置于秧田上，与常规育秧方式的水分管理要求一致。</w:t>
      </w:r>
    </w:p>
    <w:p w14:paraId="00333993">
      <w:pPr>
        <w:pStyle w:val="34"/>
        <w:autoSpaceDE w:val="0"/>
        <w:autoSpaceDN w:val="0"/>
        <w:adjustRightInd w:val="0"/>
        <w:spacing w:line="500" w:lineRule="exact"/>
        <w:ind w:firstLine="640"/>
        <w:jc w:val="left"/>
        <w:rPr>
          <w:rFonts w:hint="eastAsia" w:ascii="仿宋_GB2312"/>
          <w:kern w:val="0"/>
        </w:rPr>
      </w:pPr>
      <w:r>
        <w:rPr>
          <w:rFonts w:hint="eastAsia" w:ascii="仿宋_GB2312"/>
          <w:kern w:val="0"/>
        </w:rPr>
        <w:t>3、温度管理</w:t>
      </w:r>
    </w:p>
    <w:p w14:paraId="04A7FA7F">
      <w:pPr>
        <w:pStyle w:val="34"/>
        <w:autoSpaceDE w:val="0"/>
        <w:autoSpaceDN w:val="0"/>
        <w:adjustRightInd w:val="0"/>
        <w:spacing w:line="500" w:lineRule="exact"/>
        <w:ind w:firstLine="640"/>
        <w:jc w:val="left"/>
        <w:rPr>
          <w:rFonts w:hint="eastAsia" w:ascii="仿宋_GB2312"/>
          <w:kern w:val="0"/>
        </w:rPr>
      </w:pPr>
      <w:r>
        <w:rPr>
          <w:rFonts w:hint="eastAsia" w:ascii="仿宋_GB2312"/>
          <w:kern w:val="0"/>
        </w:rPr>
        <w:t>规定出苗前膜内温度宜控制在20～30℃，不宜超过35℃；出苗后遇高温天气（日最高气温超过25℃）时，揭开膜两端通风降温。主要依据水稻育秧的温度管理要求。水稻种子发芽的适宜温度为25～35℃，最适温度为30℃左右，出苗前膜内温度控制在20～30℃既能保证正常发芽，又可防止高温烧芽；超过35℃时容易导致高温烫伤种子或幼芽。出苗后日最高气温超过25℃时揭开膜两端通风降温，是防止高温烧苗的常规操作，通风降温可逐步降低棚内温度，避免秧苗因温度骤变而受损。这些温度控制参数和操作方法是水稻育秧中普遍采用的农艺措施。</w:t>
      </w:r>
    </w:p>
    <w:p w14:paraId="7AA69105">
      <w:pPr>
        <w:pStyle w:val="34"/>
        <w:autoSpaceDE w:val="0"/>
        <w:autoSpaceDN w:val="0"/>
        <w:adjustRightInd w:val="0"/>
        <w:spacing w:line="500" w:lineRule="exact"/>
        <w:ind w:firstLine="640"/>
        <w:jc w:val="left"/>
        <w:rPr>
          <w:rFonts w:ascii="仿宋_GB2312" w:hAnsi="宋体"/>
          <w:color w:val="000000" w:themeColor="text1"/>
          <w:szCs w:val="32"/>
          <w14:textFill>
            <w14:solidFill>
              <w14:schemeClr w14:val="tx1"/>
            </w14:solidFill>
          </w14:textFill>
        </w:rPr>
      </w:pPr>
      <w:r>
        <w:rPr>
          <w:rFonts w:hint="eastAsia" w:ascii="仿宋_GB2312" w:hAnsi="宋体"/>
          <w:color w:val="000000" w:themeColor="text1"/>
          <w:szCs w:val="32"/>
          <w14:textFill>
            <w14:solidFill>
              <w14:schemeClr w14:val="tx1"/>
            </w14:solidFill>
          </w14:textFill>
        </w:rPr>
        <w:t>4、揭膜炼苗</w:t>
      </w:r>
    </w:p>
    <w:p w14:paraId="3B55F3A0">
      <w:pPr>
        <w:pStyle w:val="34"/>
        <w:autoSpaceDE w:val="0"/>
        <w:autoSpaceDN w:val="0"/>
        <w:adjustRightInd w:val="0"/>
        <w:spacing w:line="500" w:lineRule="exact"/>
        <w:ind w:firstLine="640"/>
        <w:jc w:val="left"/>
        <w:rPr>
          <w:rFonts w:hint="eastAsia" w:ascii="仿宋_GB2312" w:hAnsi="宋体"/>
          <w:color w:val="000000" w:themeColor="text1"/>
          <w:szCs w:val="32"/>
          <w14:textFill>
            <w14:solidFill>
              <w14:schemeClr w14:val="tx1"/>
            </w14:solidFill>
          </w14:textFill>
        </w:rPr>
      </w:pPr>
      <w:r>
        <w:rPr>
          <w:rFonts w:hint="eastAsia" w:ascii="仿宋_GB2312" w:hAnsi="宋体"/>
          <w:color w:val="000000" w:themeColor="text1"/>
          <w:szCs w:val="32"/>
          <w14:textFill>
            <w14:solidFill>
              <w14:schemeClr w14:val="tx1"/>
            </w14:solidFill>
          </w14:textFill>
        </w:rPr>
        <w:t>规定秧苗长至一叶一心，且气温稳定在15℃以上时及时揭膜炼苗，先将膜两端揭开通风2～3天，待秧苗适应外界环境后再完全揭除农膜，完全揭膜后加强水肥管理。主要依据水稻育秧的炼苗技术要求。秧苗长至一叶一心期是开始炼苗的适宜时期，此时秧苗已具备一定的抗逆能力；气温稳定在15℃以上是确保炼苗过程中秧苗不受冷害的温度条件。先揭两端通风2～3天再完全揭除的分步炼苗方式，是为了让秧苗逐步适应外界环境，避免因环境条件突变导致“青枯”或“黄枯”等生理性病害。完全揭膜后加强水肥管理，是为了促进秧苗健壮生长，提高秧苗素质，满足机插秧对秧苗的要求。</w:t>
      </w:r>
    </w:p>
    <w:p w14:paraId="460D4FC4">
      <w:pPr>
        <w:pStyle w:val="34"/>
        <w:autoSpaceDE w:val="0"/>
        <w:autoSpaceDN w:val="0"/>
        <w:adjustRightInd w:val="0"/>
        <w:spacing w:line="500" w:lineRule="exact"/>
        <w:ind w:firstLine="640"/>
        <w:jc w:val="left"/>
        <w:rPr>
          <w:rFonts w:hint="eastAsia" w:ascii="仿宋_GB2312" w:hAnsi="宋体"/>
          <w:color w:val="000000" w:themeColor="text1"/>
          <w:szCs w:val="32"/>
          <w14:textFill>
            <w14:solidFill>
              <w14:schemeClr w14:val="tx1"/>
            </w14:solidFill>
          </w14:textFill>
        </w:rPr>
      </w:pPr>
      <w:r>
        <w:rPr>
          <w:rFonts w:hint="eastAsia" w:ascii="仿宋_GB2312" w:hAnsi="宋体"/>
          <w:color w:val="000000" w:themeColor="text1"/>
          <w:szCs w:val="32"/>
          <w14:textFill>
            <w14:solidFill>
              <w14:schemeClr w14:val="tx1"/>
            </w14:solidFill>
          </w14:textFill>
        </w:rPr>
        <w:t>5、施肥管理</w:t>
      </w:r>
    </w:p>
    <w:p w14:paraId="0975CC5E">
      <w:pPr>
        <w:pStyle w:val="34"/>
        <w:autoSpaceDE w:val="0"/>
        <w:autoSpaceDN w:val="0"/>
        <w:adjustRightInd w:val="0"/>
        <w:spacing w:line="500" w:lineRule="exact"/>
        <w:ind w:firstLine="640"/>
        <w:jc w:val="left"/>
        <w:rPr>
          <w:rFonts w:hint="eastAsia" w:ascii="仿宋_GB2312" w:hAnsi="宋体"/>
          <w:color w:val="000000" w:themeColor="text1"/>
          <w:szCs w:val="32"/>
          <w14:textFill>
            <w14:solidFill>
              <w14:schemeClr w14:val="tx1"/>
            </w14:solidFill>
          </w14:textFill>
        </w:rPr>
      </w:pPr>
      <w:r>
        <w:rPr>
          <w:rFonts w:hint="eastAsia" w:ascii="仿宋_GB2312" w:hAnsi="宋体"/>
          <w:color w:val="000000" w:themeColor="text1"/>
          <w:szCs w:val="32"/>
          <w14:textFill>
            <w14:solidFill>
              <w14:schemeClr w14:val="tx1"/>
            </w14:solidFill>
          </w14:textFill>
        </w:rPr>
        <w:t>规定播种时已施入壮秧剂的，育秧期间一般不进行追肥；如秧苗出现脱肥症状，视情况在移栽前</w:t>
      </w:r>
      <w:r>
        <w:rPr>
          <w:rFonts w:ascii="仿宋_GB2312" w:hAnsi="宋体"/>
          <w:color w:val="000000" w:themeColor="text1"/>
          <w:szCs w:val="32"/>
          <w14:textFill>
            <w14:solidFill>
              <w14:schemeClr w14:val="tx1"/>
            </w14:solidFill>
          </w14:textFill>
        </w:rPr>
        <w:t>3</w:t>
      </w:r>
      <w:r>
        <w:rPr>
          <w:rFonts w:hint="eastAsia" w:ascii="仿宋_GB2312" w:hAnsi="宋体"/>
          <w:color w:val="000000" w:themeColor="text1"/>
          <w:szCs w:val="32"/>
          <w14:textFill>
            <w14:solidFill>
              <w14:schemeClr w14:val="tx1"/>
            </w14:solidFill>
          </w14:textFill>
        </w:rPr>
        <w:t>～</w:t>
      </w:r>
      <w:r>
        <w:rPr>
          <w:rFonts w:ascii="仿宋_GB2312" w:hAnsi="宋体"/>
          <w:color w:val="000000" w:themeColor="text1"/>
          <w:szCs w:val="32"/>
          <w14:textFill>
            <w14:solidFill>
              <w14:schemeClr w14:val="tx1"/>
            </w14:solidFill>
          </w14:textFill>
        </w:rPr>
        <w:t>5</w:t>
      </w:r>
      <w:r>
        <w:rPr>
          <w:rFonts w:hint="eastAsia" w:ascii="仿宋_GB2312" w:hAnsi="宋体"/>
          <w:color w:val="000000" w:themeColor="text1"/>
          <w:szCs w:val="32"/>
          <w14:textFill>
            <w14:solidFill>
              <w14:schemeClr w14:val="tx1"/>
            </w14:solidFill>
          </w14:textFill>
        </w:rPr>
        <w:t>天追施</w:t>
      </w:r>
      <w:r>
        <w:rPr>
          <w:rFonts w:ascii="仿宋_GB2312" w:hAnsi="宋体"/>
          <w:color w:val="000000" w:themeColor="text1"/>
          <w:szCs w:val="32"/>
          <w14:textFill>
            <w14:solidFill>
              <w14:schemeClr w14:val="tx1"/>
            </w14:solidFill>
          </w14:textFill>
        </w:rPr>
        <w:t>1</w:t>
      </w:r>
      <w:r>
        <w:rPr>
          <w:rFonts w:hint="eastAsia" w:ascii="仿宋_GB2312" w:hAnsi="宋体"/>
          <w:color w:val="000000" w:themeColor="text1"/>
          <w:szCs w:val="32"/>
          <w14:textFill>
            <w14:solidFill>
              <w14:schemeClr w14:val="tx1"/>
            </w14:solidFill>
          </w14:textFill>
        </w:rPr>
        <w:t>次送嫁肥，每</w:t>
      </w:r>
      <w:r>
        <w:rPr>
          <w:rFonts w:ascii="仿宋_GB2312" w:hAnsi="宋体"/>
          <w:color w:val="000000" w:themeColor="text1"/>
          <w:szCs w:val="32"/>
          <w14:textFill>
            <w14:solidFill>
              <w14:schemeClr w14:val="tx1"/>
            </w14:solidFill>
          </w14:textFill>
        </w:rPr>
        <w:t>667m²</w:t>
      </w:r>
      <w:r>
        <w:rPr>
          <w:rFonts w:hint="eastAsia" w:ascii="仿宋_GB2312" w:hAnsi="宋体"/>
          <w:color w:val="000000" w:themeColor="text1"/>
          <w:szCs w:val="32"/>
          <w14:textFill>
            <w14:solidFill>
              <w14:schemeClr w14:val="tx1"/>
            </w14:solidFill>
          </w14:textFill>
        </w:rPr>
        <w:t>施用尿素</w:t>
      </w:r>
      <w:r>
        <w:rPr>
          <w:rFonts w:ascii="仿宋_GB2312" w:hAnsi="宋体"/>
          <w:color w:val="000000" w:themeColor="text1"/>
          <w:szCs w:val="32"/>
          <w14:textFill>
            <w14:solidFill>
              <w14:schemeClr w14:val="tx1"/>
            </w14:solidFill>
          </w14:textFill>
        </w:rPr>
        <w:t>2</w:t>
      </w:r>
      <w:r>
        <w:rPr>
          <w:rFonts w:hint="eastAsia" w:ascii="仿宋_GB2312" w:hAnsi="宋体"/>
          <w:color w:val="000000" w:themeColor="text1"/>
          <w:szCs w:val="32"/>
          <w14:textFill>
            <w14:solidFill>
              <w14:schemeClr w14:val="tx1"/>
            </w14:solidFill>
          </w14:textFill>
        </w:rPr>
        <w:t>～</w:t>
      </w:r>
      <w:r>
        <w:rPr>
          <w:rFonts w:ascii="仿宋_GB2312" w:hAnsi="宋体"/>
          <w:color w:val="000000" w:themeColor="text1"/>
          <w:szCs w:val="32"/>
          <w14:textFill>
            <w14:solidFill>
              <w14:schemeClr w14:val="tx1"/>
            </w14:solidFill>
          </w14:textFill>
        </w:rPr>
        <w:t>3kg</w:t>
      </w:r>
      <w:r>
        <w:rPr>
          <w:rFonts w:hint="eastAsia" w:ascii="仿宋_GB2312" w:hAnsi="宋体"/>
          <w:color w:val="000000" w:themeColor="text1"/>
          <w:szCs w:val="32"/>
          <w14:textFill>
            <w14:solidFill>
              <w14:schemeClr w14:val="tx1"/>
            </w14:solidFill>
          </w14:textFill>
        </w:rPr>
        <w:t>。主要依据水稻育秧的施肥管理原则。播种时施入壮秧剂可为秧苗生长提供充足的养分基础，因此育秧期间一般不需要追肥。如秧苗出现叶色发黄、生长缓慢等脱肥症状时，在移栽前</w:t>
      </w:r>
      <w:r>
        <w:rPr>
          <w:rFonts w:ascii="仿宋_GB2312" w:hAnsi="宋体"/>
          <w:color w:val="000000" w:themeColor="text1"/>
          <w:szCs w:val="32"/>
          <w14:textFill>
            <w14:solidFill>
              <w14:schemeClr w14:val="tx1"/>
            </w14:solidFill>
          </w14:textFill>
        </w:rPr>
        <w:t>3</w:t>
      </w:r>
      <w:r>
        <w:rPr>
          <w:rFonts w:hint="eastAsia" w:ascii="仿宋_GB2312" w:hAnsi="宋体"/>
          <w:color w:val="000000" w:themeColor="text1"/>
          <w:szCs w:val="32"/>
          <w14:textFill>
            <w14:solidFill>
              <w14:schemeClr w14:val="tx1"/>
            </w14:solidFill>
          </w14:textFill>
        </w:rPr>
        <w:t>～</w:t>
      </w:r>
      <w:r>
        <w:rPr>
          <w:rFonts w:ascii="仿宋_GB2312" w:hAnsi="宋体"/>
          <w:color w:val="000000" w:themeColor="text1"/>
          <w:szCs w:val="32"/>
          <w14:textFill>
            <w14:solidFill>
              <w14:schemeClr w14:val="tx1"/>
            </w14:solidFill>
          </w14:textFill>
        </w:rPr>
        <w:t>5</w:t>
      </w:r>
      <w:r>
        <w:rPr>
          <w:rFonts w:hint="eastAsia" w:ascii="仿宋_GB2312" w:hAnsi="宋体"/>
          <w:color w:val="000000" w:themeColor="text1"/>
          <w:szCs w:val="32"/>
          <w14:textFill>
            <w14:solidFill>
              <w14:schemeClr w14:val="tx1"/>
            </w14:solidFill>
          </w14:textFill>
        </w:rPr>
        <w:t>天追施“送嫁肥”是水稻育秧中常用的补肥措施，此时追肥可使秧苗在移栽前吸收养分、增强发根力，有利于移栽后快速返青。每</w:t>
      </w:r>
      <w:r>
        <w:rPr>
          <w:rFonts w:ascii="仿宋_GB2312" w:hAnsi="宋体"/>
          <w:color w:val="000000" w:themeColor="text1"/>
          <w:szCs w:val="32"/>
          <w14:textFill>
            <w14:solidFill>
              <w14:schemeClr w14:val="tx1"/>
            </w14:solidFill>
          </w14:textFill>
        </w:rPr>
        <w:t>667m²</w:t>
      </w:r>
      <w:r>
        <w:rPr>
          <w:rFonts w:hint="eastAsia" w:ascii="仿宋_GB2312" w:hAnsi="宋体"/>
          <w:color w:val="000000" w:themeColor="text1"/>
          <w:szCs w:val="32"/>
          <w14:textFill>
            <w14:solidFill>
              <w14:schemeClr w14:val="tx1"/>
            </w14:solidFill>
          </w14:textFill>
        </w:rPr>
        <w:t>施用尿素</w:t>
      </w:r>
      <w:r>
        <w:rPr>
          <w:rFonts w:ascii="仿宋_GB2312" w:hAnsi="宋体"/>
          <w:color w:val="000000" w:themeColor="text1"/>
          <w:szCs w:val="32"/>
          <w14:textFill>
            <w14:solidFill>
              <w14:schemeClr w14:val="tx1"/>
            </w14:solidFill>
          </w14:textFill>
        </w:rPr>
        <w:t>2</w:t>
      </w:r>
      <w:r>
        <w:rPr>
          <w:rFonts w:hint="eastAsia" w:ascii="仿宋_GB2312" w:hAnsi="宋体"/>
          <w:color w:val="000000" w:themeColor="text1"/>
          <w:szCs w:val="32"/>
          <w14:textFill>
            <w14:solidFill>
              <w14:schemeClr w14:val="tx1"/>
            </w14:solidFill>
          </w14:textFill>
        </w:rPr>
        <w:t>～</w:t>
      </w:r>
      <w:r>
        <w:rPr>
          <w:rFonts w:ascii="仿宋_GB2312" w:hAnsi="宋体"/>
          <w:color w:val="000000" w:themeColor="text1"/>
          <w:szCs w:val="32"/>
          <w14:textFill>
            <w14:solidFill>
              <w14:schemeClr w14:val="tx1"/>
            </w14:solidFill>
          </w14:textFill>
        </w:rPr>
        <w:t>3kg</w:t>
      </w:r>
      <w:r>
        <w:rPr>
          <w:rFonts w:hint="eastAsia" w:ascii="仿宋_GB2312" w:hAnsi="宋体"/>
          <w:color w:val="000000" w:themeColor="text1"/>
          <w:szCs w:val="32"/>
          <w14:textFill>
            <w14:solidFill>
              <w14:schemeClr w14:val="tx1"/>
            </w14:solidFill>
          </w14:textFill>
        </w:rPr>
        <w:t>的用量是水稻育秧中送嫁肥的常规施用水平。</w:t>
      </w:r>
    </w:p>
    <w:p w14:paraId="1B609043">
      <w:pPr>
        <w:pStyle w:val="34"/>
        <w:autoSpaceDE w:val="0"/>
        <w:autoSpaceDN w:val="0"/>
        <w:adjustRightInd w:val="0"/>
        <w:spacing w:line="500" w:lineRule="exact"/>
        <w:ind w:firstLine="640"/>
        <w:jc w:val="left"/>
        <w:rPr>
          <w:rFonts w:hint="eastAsia" w:ascii="仿宋_GB2312" w:hAnsi="宋体"/>
          <w:color w:val="000000" w:themeColor="text1"/>
          <w:szCs w:val="32"/>
          <w14:textFill>
            <w14:solidFill>
              <w14:schemeClr w14:val="tx1"/>
            </w14:solidFill>
          </w14:textFill>
        </w:rPr>
      </w:pPr>
      <w:r>
        <w:rPr>
          <w:rFonts w:hint="eastAsia" w:ascii="仿宋_GB2312" w:hAnsi="宋体"/>
          <w:color w:val="000000" w:themeColor="text1"/>
          <w:szCs w:val="32"/>
          <w14:textFill>
            <w14:solidFill>
              <w14:schemeClr w14:val="tx1"/>
            </w14:solidFill>
          </w14:textFill>
        </w:rPr>
        <w:t>6、病虫害防治</w:t>
      </w:r>
    </w:p>
    <w:p w14:paraId="7D3F4386">
      <w:pPr>
        <w:pStyle w:val="34"/>
        <w:autoSpaceDE w:val="0"/>
        <w:autoSpaceDN w:val="0"/>
        <w:adjustRightInd w:val="0"/>
        <w:spacing w:line="500" w:lineRule="exact"/>
        <w:ind w:firstLine="640"/>
        <w:jc w:val="left"/>
        <w:rPr>
          <w:rFonts w:ascii="仿宋_GB2312" w:hAnsi="宋体"/>
          <w:color w:val="000000" w:themeColor="text1"/>
          <w:szCs w:val="32"/>
          <w14:textFill>
            <w14:solidFill>
              <w14:schemeClr w14:val="tx1"/>
            </w14:solidFill>
          </w14:textFill>
        </w:rPr>
      </w:pPr>
      <w:r>
        <w:rPr>
          <w:rFonts w:hint="eastAsia" w:ascii="仿宋_GB2312" w:hAnsi="宋体"/>
          <w:color w:val="000000" w:themeColor="text1"/>
          <w:szCs w:val="32"/>
          <w14:textFill>
            <w14:solidFill>
              <w14:schemeClr w14:val="tx1"/>
            </w14:solidFill>
          </w14:textFill>
        </w:rPr>
        <w:t>规定秧田期应加强病虫害监测，发现病虫害时及时选用对口农药进行防治，农药的使用按GB/T 8321（所有部分）的规定执行。秧田期是水稻病虫害发生的敏感时期，绵腐病、立枯病、稻瘟病以及稻飞虱、螟虫等病虫害可能对秧苗造成危害。加强病虫害监测、及时发现并选用对口农药进行防治，是水稻育秧中病虫害管理的通用原则。</w:t>
      </w:r>
    </w:p>
    <w:p w14:paraId="761A2A7F">
      <w:pPr>
        <w:ind w:firstLine="321" w:firstLineChars="100"/>
        <w:rPr>
          <w:rFonts w:hint="eastAsia" w:ascii="仿宋_GB2312" w:hAnsi="宋体"/>
          <w:b/>
          <w:color w:val="000000" w:themeColor="text1"/>
          <w:szCs w:val="32"/>
          <w14:textFill>
            <w14:solidFill>
              <w14:schemeClr w14:val="tx1"/>
            </w14:solidFill>
          </w14:textFill>
        </w:rPr>
      </w:pPr>
      <w:r>
        <w:rPr>
          <w:rFonts w:hint="eastAsia" w:ascii="仿宋_GB2312" w:hAnsi="宋体"/>
          <w:b/>
          <w:color w:val="000000" w:themeColor="text1"/>
          <w:szCs w:val="32"/>
          <w:lang w:val="zh-CN"/>
          <w14:textFill>
            <w14:solidFill>
              <w14:schemeClr w14:val="tx1"/>
            </w14:solidFill>
          </w14:textFill>
        </w:rPr>
        <w:t>（</w:t>
      </w:r>
      <w:r>
        <w:rPr>
          <w:rFonts w:hint="eastAsia" w:ascii="仿宋_GB2312" w:hAnsi="宋体"/>
          <w:b/>
          <w:color w:val="000000" w:themeColor="text1"/>
          <w:szCs w:val="32"/>
          <w14:textFill>
            <w14:solidFill>
              <w14:schemeClr w14:val="tx1"/>
            </w14:solidFill>
          </w14:textFill>
        </w:rPr>
        <w:t>五）机器维护保养</w:t>
      </w:r>
    </w:p>
    <w:p w14:paraId="49156143">
      <w:pPr>
        <w:pStyle w:val="3"/>
        <w:ind w:firstLine="640"/>
        <w:rPr>
          <w:rFonts w:hint="eastAsia"/>
        </w:rPr>
      </w:pPr>
      <w:r>
        <w:rPr>
          <w:rFonts w:hint="eastAsia"/>
        </w:rPr>
        <w:t>规定了水稻原位浆泥智能播种机的日常保养和季末保养要求，是保障设备长期稳定运行、延长使用寿命的关键技术内容。</w:t>
      </w:r>
    </w:p>
    <w:p w14:paraId="156F3D95">
      <w:pPr>
        <w:pStyle w:val="4"/>
        <w:ind w:firstLine="640"/>
        <w:rPr>
          <w:rFonts w:hint="eastAsia" w:ascii="宋体" w:eastAsia="仿宋_GB2312"/>
          <w:kern w:val="0"/>
          <w:sz w:val="32"/>
        </w:rPr>
      </w:pPr>
      <w:r>
        <w:rPr>
          <w:rFonts w:hint="eastAsia" w:ascii="宋体" w:eastAsia="仿宋_GB2312"/>
          <w:kern w:val="0"/>
          <w:sz w:val="32"/>
        </w:rPr>
        <w:t>每班作业后的日常保养要求——彻底清理泥土、杂草、残留种子，检查紧固件、润滑点、传动皮带及链条松紧度，检查排种器、开沟器等易损件磨损情况。主要依据通用农业机械维护保养规范中“防重于治、养重于修”的基本原则，同时结合本标准所涉播种机在泥浆环境中作业的特殊工况——刮板链直接接触泥浆、除杂筛持续震动、排种器与芽谷直接接触，若不及时清理将腐蚀机件并影响后续播种质量。</w:t>
      </w:r>
    </w:p>
    <w:p w14:paraId="4341CFAA">
      <w:pPr>
        <w:pStyle w:val="4"/>
        <w:ind w:firstLine="640"/>
        <w:rPr>
          <w:rFonts w:hint="eastAsia" w:ascii="宋体" w:eastAsia="仿宋_GB2312"/>
          <w:kern w:val="0"/>
          <w:sz w:val="32"/>
        </w:rPr>
      </w:pPr>
      <w:r>
        <w:rPr>
          <w:rFonts w:hint="eastAsia" w:ascii="宋体" w:eastAsia="仿宋_GB2312"/>
          <w:kern w:val="0"/>
          <w:sz w:val="32"/>
        </w:rPr>
        <w:t>每季作业结束后的季末保养要求——放净燃油、冷却液，对液压系统进行保养，对智能控制系统、传感器、天线等电子设备进行清洁、防潮处理，并存放于干燥通风的机库内。主要依据包括通用农机季末存放规范（放净燃油冷却液、干燥通风存放），以及本标准所涉播种机的特殊结构：上浆、除杂、灌浆装置均由液压驱动（依据液压驱动系统专利），长期存放前须对液压系统进行专门保养；同时该机配备智能控制系统及传感器、天线等电子设备，对环境湿度敏感，存放期间须进行防潮处理。</w:t>
      </w:r>
    </w:p>
    <w:p w14:paraId="63DE4DFF">
      <w:pPr>
        <w:ind w:firstLine="321" w:firstLineChars="100"/>
        <w:rPr>
          <w:rFonts w:ascii="仿宋_GB2312" w:hAnsi="宋体"/>
          <w:b/>
          <w:color w:val="000000" w:themeColor="text1"/>
          <w:szCs w:val="32"/>
          <w:lang w:val="zh-CN"/>
          <w14:textFill>
            <w14:solidFill>
              <w14:schemeClr w14:val="tx1"/>
            </w14:solidFill>
          </w14:textFill>
        </w:rPr>
      </w:pPr>
      <w:r>
        <w:rPr>
          <w:rFonts w:hint="eastAsia" w:ascii="仿宋_GB2312" w:hAnsi="宋体"/>
          <w:b/>
          <w:color w:val="000000" w:themeColor="text1"/>
          <w:szCs w:val="32"/>
          <w:lang w:val="zh-CN"/>
          <w14:textFill>
            <w14:solidFill>
              <w14:schemeClr w14:val="tx1"/>
            </w14:solidFill>
          </w14:textFill>
        </w:rPr>
        <w:t>（</w:t>
      </w:r>
      <w:r>
        <w:rPr>
          <w:rFonts w:hint="eastAsia" w:ascii="仿宋_GB2312" w:hAnsi="宋体"/>
          <w:b/>
          <w:color w:val="000000" w:themeColor="text1"/>
          <w:szCs w:val="32"/>
          <w14:textFill>
            <w14:solidFill>
              <w14:schemeClr w14:val="tx1"/>
            </w14:solidFill>
          </w14:textFill>
        </w:rPr>
        <w:t>六）档案记录</w:t>
      </w:r>
    </w:p>
    <w:p w14:paraId="78A5E395">
      <w:pPr>
        <w:pStyle w:val="4"/>
        <w:ind w:firstLine="640"/>
        <w:rPr>
          <w:rFonts w:ascii="宋体" w:eastAsia="仿宋_GB2312"/>
          <w:kern w:val="0"/>
          <w:sz w:val="32"/>
        </w:rPr>
      </w:pPr>
      <w:r>
        <w:rPr>
          <w:rFonts w:hint="eastAsia" w:ascii="仿宋_GB2312" w:eastAsia="仿宋_GB2312"/>
          <w:kern w:val="0"/>
          <w:sz w:val="32"/>
        </w:rPr>
        <w:t>按GB/T 42478-2023《农产</w:t>
      </w:r>
      <w:r>
        <w:rPr>
          <w:rFonts w:hint="eastAsia" w:ascii="宋体" w:eastAsia="仿宋_GB2312"/>
          <w:kern w:val="0"/>
          <w:sz w:val="32"/>
        </w:rPr>
        <w:t>品生产档案记载规范》的规定执行。</w:t>
      </w:r>
    </w:p>
    <w:p w14:paraId="5B92F2B6">
      <w:pPr>
        <w:autoSpaceDE w:val="0"/>
        <w:autoSpaceDN w:val="0"/>
        <w:adjustRightInd w:val="0"/>
        <w:spacing w:line="500" w:lineRule="exact"/>
        <w:ind w:firstLine="640"/>
        <w:jc w:val="left"/>
        <w:rPr>
          <w:rFonts w:ascii="黑体" w:hAnsi="黑体" w:eastAsia="黑体" w:cs="仿宋_GB2312"/>
          <w:color w:val="000000" w:themeColor="text1"/>
          <w:szCs w:val="32"/>
          <w14:textFill>
            <w14:solidFill>
              <w14:schemeClr w14:val="tx1"/>
            </w14:solidFill>
          </w14:textFill>
        </w:rPr>
      </w:pPr>
      <w:bookmarkStart w:id="2" w:name="_Toc526940086"/>
      <w:r>
        <w:rPr>
          <w:rFonts w:hint="eastAsia" w:ascii="黑体" w:hAnsi="黑体" w:eastAsia="黑体" w:cs="仿宋_GB2312"/>
          <w:color w:val="000000" w:themeColor="text1"/>
          <w:szCs w:val="32"/>
          <w14:textFill>
            <w14:solidFill>
              <w14:schemeClr w14:val="tx1"/>
            </w14:solidFill>
          </w14:textFill>
        </w:rPr>
        <w:t>六、</w:t>
      </w:r>
      <w:bookmarkEnd w:id="2"/>
      <w:r>
        <w:rPr>
          <w:rFonts w:hint="eastAsia" w:ascii="黑体" w:hAnsi="黑体" w:eastAsia="黑体" w:cs="仿宋_GB2312"/>
          <w:color w:val="000000" w:themeColor="text1"/>
          <w:szCs w:val="32"/>
          <w14:textFill>
            <w14:solidFill>
              <w14:schemeClr w14:val="tx1"/>
            </w14:solidFill>
          </w14:textFill>
        </w:rPr>
        <w:t>重大分歧意见的处理经过和依据</w:t>
      </w:r>
    </w:p>
    <w:p w14:paraId="0A4CC43D">
      <w:pPr>
        <w:spacing w:line="500" w:lineRule="exact"/>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本标准研制过程中无重大分歧意见。</w:t>
      </w:r>
    </w:p>
    <w:p w14:paraId="053DED65">
      <w:pPr>
        <w:autoSpaceDE w:val="0"/>
        <w:autoSpaceDN w:val="0"/>
        <w:adjustRightInd w:val="0"/>
        <w:spacing w:line="500" w:lineRule="exact"/>
        <w:ind w:firstLine="640"/>
        <w:jc w:val="left"/>
        <w:rPr>
          <w:rFonts w:ascii="黑体" w:hAnsi="黑体" w:eastAsia="黑体" w:cs="仿宋_GB2312"/>
          <w:color w:val="000000" w:themeColor="text1"/>
          <w:szCs w:val="32"/>
          <w14:textFill>
            <w14:solidFill>
              <w14:schemeClr w14:val="tx1"/>
            </w14:solidFill>
          </w14:textFill>
        </w:rPr>
      </w:pPr>
      <w:r>
        <w:rPr>
          <w:rFonts w:hint="eastAsia" w:ascii="黑体" w:hAnsi="黑体" w:eastAsia="黑体" w:cs="仿宋_GB2312"/>
          <w:color w:val="000000" w:themeColor="text1"/>
          <w:szCs w:val="32"/>
          <w14:textFill>
            <w14:solidFill>
              <w14:schemeClr w14:val="tx1"/>
            </w14:solidFill>
          </w14:textFill>
        </w:rPr>
        <w:t>七</w:t>
      </w:r>
      <w:r>
        <w:rPr>
          <w:rFonts w:ascii="黑体" w:hAnsi="黑体" w:eastAsia="黑体" w:cs="仿宋_GB2312"/>
          <w:color w:val="000000" w:themeColor="text1"/>
          <w:szCs w:val="32"/>
          <w14:textFill>
            <w14:solidFill>
              <w14:schemeClr w14:val="tx1"/>
            </w14:solidFill>
          </w14:textFill>
        </w:rPr>
        <w:t>、</w:t>
      </w:r>
      <w:r>
        <w:rPr>
          <w:rFonts w:hint="eastAsia" w:ascii="黑体" w:hAnsi="黑体" w:eastAsia="黑体" w:cs="仿宋_GB2312"/>
          <w:color w:val="000000" w:themeColor="text1"/>
          <w:szCs w:val="32"/>
          <w14:textFill>
            <w14:solidFill>
              <w14:schemeClr w14:val="tx1"/>
            </w14:solidFill>
          </w14:textFill>
        </w:rPr>
        <w:t>实施标准的措施</w:t>
      </w:r>
    </w:p>
    <w:p w14:paraId="0B2DD408">
      <w:pPr>
        <w:spacing w:line="500" w:lineRule="exact"/>
        <w:ind w:firstLine="643"/>
        <w:rPr>
          <w:rFonts w:ascii="仿宋_GB2312" w:hAnsi="宋体"/>
          <w:b/>
          <w:color w:val="000000" w:themeColor="text1"/>
          <w:szCs w:val="28"/>
          <w14:textFill>
            <w14:solidFill>
              <w14:schemeClr w14:val="tx1"/>
            </w14:solidFill>
          </w14:textFill>
        </w:rPr>
      </w:pPr>
      <w:r>
        <w:rPr>
          <w:rFonts w:hint="eastAsia" w:ascii="仿宋_GB2312" w:hAnsi="宋体"/>
          <w:b/>
          <w:color w:val="000000" w:themeColor="text1"/>
          <w:szCs w:val="28"/>
          <w14:textFill>
            <w14:solidFill>
              <w14:schemeClr w14:val="tx1"/>
            </w14:solidFill>
          </w14:textFill>
        </w:rPr>
        <w:t>（一）标准报批发布后，成立标准宣贯工作组</w:t>
      </w:r>
    </w:p>
    <w:p w14:paraId="329FAC42">
      <w:pPr>
        <w:spacing w:line="500" w:lineRule="exact"/>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7452DF24">
      <w:pPr>
        <w:spacing w:line="500" w:lineRule="exact"/>
        <w:ind w:firstLine="643"/>
        <w:rPr>
          <w:rFonts w:ascii="仿宋_GB2312" w:hAnsi="宋体"/>
          <w:b/>
          <w:color w:val="000000" w:themeColor="text1"/>
          <w:szCs w:val="28"/>
          <w14:textFill>
            <w14:solidFill>
              <w14:schemeClr w14:val="tx1"/>
            </w14:solidFill>
          </w14:textFill>
        </w:rPr>
      </w:pPr>
      <w:r>
        <w:rPr>
          <w:rFonts w:hint="eastAsia" w:ascii="仿宋_GB2312" w:hAnsi="宋体"/>
          <w:b/>
          <w:color w:val="000000" w:themeColor="text1"/>
          <w:szCs w:val="28"/>
          <w14:textFill>
            <w14:solidFill>
              <w14:schemeClr w14:val="tx1"/>
            </w14:solidFill>
          </w14:textFill>
        </w:rPr>
        <w:t>（二）组织开展标准宣贯培训</w:t>
      </w:r>
    </w:p>
    <w:p w14:paraId="3848110C">
      <w:pPr>
        <w:spacing w:line="500" w:lineRule="exact"/>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14:paraId="3DAC00A5">
      <w:pPr>
        <w:spacing w:line="500" w:lineRule="exact"/>
        <w:ind w:firstLine="643"/>
        <w:rPr>
          <w:rFonts w:ascii="仿宋_GB2312" w:hAnsi="宋体"/>
          <w:b/>
          <w:color w:val="000000" w:themeColor="text1"/>
          <w:szCs w:val="28"/>
          <w14:textFill>
            <w14:solidFill>
              <w14:schemeClr w14:val="tx1"/>
            </w14:solidFill>
          </w14:textFill>
        </w:rPr>
      </w:pPr>
      <w:r>
        <w:rPr>
          <w:rFonts w:hint="eastAsia" w:ascii="仿宋_GB2312" w:hAnsi="宋体"/>
          <w:b/>
          <w:color w:val="000000" w:themeColor="text1"/>
          <w:szCs w:val="28"/>
          <w14:textFill>
            <w14:solidFill>
              <w14:schemeClr w14:val="tx1"/>
            </w14:solidFill>
          </w14:textFill>
        </w:rPr>
        <w:t>（三）开展标准实施交流会，收集标准实施反馈信息</w:t>
      </w:r>
    </w:p>
    <w:p w14:paraId="13F6ABFA">
      <w:pPr>
        <w:spacing w:line="500" w:lineRule="exact"/>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标准起草小组深入各市县相关机构、单位组织技术人员召开标准实施交流会，听取标准实施过程中存在的问题并做好记录和解答，对存在的问题组织专家团队进行研讨，为标准的复审修订做准备。</w:t>
      </w:r>
    </w:p>
    <w:p w14:paraId="01E76776">
      <w:pPr>
        <w:spacing w:line="500" w:lineRule="exact"/>
        <w:ind w:firstLine="643"/>
        <w:rPr>
          <w:rFonts w:ascii="仿宋_GB2312" w:hAnsi="宋体"/>
          <w:b/>
          <w:color w:val="000000" w:themeColor="text1"/>
          <w:szCs w:val="28"/>
          <w14:textFill>
            <w14:solidFill>
              <w14:schemeClr w14:val="tx1"/>
            </w14:solidFill>
          </w14:textFill>
        </w:rPr>
      </w:pPr>
      <w:r>
        <w:rPr>
          <w:rFonts w:hint="eastAsia" w:ascii="仿宋_GB2312" w:hAnsi="宋体"/>
          <w:b/>
          <w:color w:val="000000" w:themeColor="text1"/>
          <w:szCs w:val="28"/>
          <w14:textFill>
            <w14:solidFill>
              <w14:schemeClr w14:val="tx1"/>
            </w14:solidFill>
          </w14:textFill>
        </w:rPr>
        <w:t>（四）开展标准实施效果评估</w:t>
      </w:r>
    </w:p>
    <w:p w14:paraId="37787F35">
      <w:pPr>
        <w:spacing w:line="500" w:lineRule="exact"/>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标准实施满2年，每年标准宣贯工作组采取网络调查、问卷调查、实地调研、召开座谈会或论证会、专家咨询等方式开展标准实施效果评估，并形成标准实施效果评估报告，为标准的复审修订做准备。</w:t>
      </w:r>
    </w:p>
    <w:p w14:paraId="3E2CE3CD">
      <w:pPr>
        <w:autoSpaceDE w:val="0"/>
        <w:autoSpaceDN w:val="0"/>
        <w:adjustRightInd w:val="0"/>
        <w:spacing w:line="500" w:lineRule="exact"/>
        <w:ind w:firstLine="640"/>
        <w:jc w:val="left"/>
        <w:rPr>
          <w:rFonts w:ascii="黑体" w:hAnsi="黑体" w:eastAsia="黑体" w:cs="仿宋_GB2312"/>
          <w:color w:val="000000" w:themeColor="text1"/>
          <w:szCs w:val="32"/>
          <w14:textFill>
            <w14:solidFill>
              <w14:schemeClr w14:val="tx1"/>
            </w14:solidFill>
          </w14:textFill>
        </w:rPr>
      </w:pPr>
      <w:r>
        <w:rPr>
          <w:rFonts w:hint="eastAsia" w:ascii="黑体" w:hAnsi="黑体" w:eastAsia="黑体" w:cs="仿宋_GB2312"/>
          <w:color w:val="000000" w:themeColor="text1"/>
          <w:szCs w:val="32"/>
          <w14:textFill>
            <w14:solidFill>
              <w14:schemeClr w14:val="tx1"/>
            </w14:solidFill>
          </w14:textFill>
        </w:rPr>
        <w:t>八、其他应当说明的事项</w:t>
      </w:r>
    </w:p>
    <w:p w14:paraId="18EE744C">
      <w:pPr>
        <w:spacing w:line="500" w:lineRule="exact"/>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无。</w:t>
      </w:r>
    </w:p>
    <w:p w14:paraId="5D430A67">
      <w:pPr>
        <w:spacing w:line="560" w:lineRule="exact"/>
        <w:ind w:firstLine="0" w:firstLineChars="0"/>
        <w:rPr>
          <w:rFonts w:ascii="仿宋_GB2312" w:hAnsi="仿宋"/>
          <w:bCs/>
          <w:color w:val="000000" w:themeColor="text1"/>
          <w:sz w:val="36"/>
          <w:szCs w:val="32"/>
          <w14:textFill>
            <w14:solidFill>
              <w14:schemeClr w14:val="tx1"/>
            </w14:solidFill>
          </w14:textFill>
        </w:rPr>
      </w:pPr>
    </w:p>
    <w:p w14:paraId="4F6873BF">
      <w:pPr>
        <w:wordWrap w:val="0"/>
        <w:spacing w:line="560" w:lineRule="exact"/>
        <w:ind w:firstLine="640"/>
        <w:jc w:val="right"/>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团体标准《水稻原位浆泥智能播种育秧技术规程》</w:t>
      </w:r>
    </w:p>
    <w:p w14:paraId="0B0D3080">
      <w:pPr>
        <w:wordWrap w:val="0"/>
        <w:spacing w:line="560" w:lineRule="exact"/>
        <w:ind w:firstLine="640"/>
        <w:jc w:val="right"/>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 xml:space="preserve">标准编制工作组 </w:t>
      </w:r>
      <w:r>
        <w:rPr>
          <w:rFonts w:ascii="仿宋_GB2312" w:hAnsi="宋体"/>
          <w:color w:val="000000" w:themeColor="text1"/>
          <w:szCs w:val="28"/>
          <w14:textFill>
            <w14:solidFill>
              <w14:schemeClr w14:val="tx1"/>
            </w14:solidFill>
          </w14:textFill>
        </w:rPr>
        <w:t xml:space="preserve">        </w:t>
      </w:r>
    </w:p>
    <w:p w14:paraId="5F57991F">
      <w:pPr>
        <w:wordWrap w:val="0"/>
        <w:spacing w:line="560" w:lineRule="exact"/>
        <w:ind w:firstLine="640"/>
        <w:jc w:val="right"/>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 xml:space="preserve">2026年8月20日       </w:t>
      </w:r>
      <w:r>
        <w:rPr>
          <w:rFonts w:ascii="仿宋_GB2312" w:hAnsi="宋体"/>
          <w:color w:val="000000" w:themeColor="text1"/>
          <w:szCs w:val="28"/>
          <w14:textFill>
            <w14:solidFill>
              <w14:schemeClr w14:val="tx1"/>
            </w14:solidFill>
          </w14:textFill>
        </w:rPr>
        <w:t xml:space="preserve"> </w:t>
      </w:r>
    </w:p>
    <w:sectPr>
      <w:headerReference r:id="rId7" w:type="first"/>
      <w:footerReference r:id="rId10" w:type="first"/>
      <w:headerReference r:id="rId5" w:type="default"/>
      <w:footerReference r:id="rId8" w:type="default"/>
      <w:headerReference r:id="rId6" w:type="even"/>
      <w:footerReference r:id="rId9" w:type="even"/>
      <w:pgSz w:w="11906" w:h="16838"/>
      <w:pgMar w:top="1474" w:right="1474" w:bottom="1474" w:left="147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640"/>
      </w:pPr>
      <w:r>
        <w:separator/>
      </w:r>
    </w:p>
  </w:endnote>
  <w:endnote w:type="continuationSeparator" w:id="1">
    <w:p>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_GB2312">
    <w:panose1 w:val="02010609030101010101"/>
    <w:charset w:val="86"/>
    <w:family w:val="modern"/>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新宋体.挀.挀.">
    <w:altName w:val="宋体"/>
    <w:panose1 w:val="00000000000000000000"/>
    <w:charset w:val="86"/>
    <w:family w:val="decorative"/>
    <w:pitch w:val="default"/>
    <w:sig w:usb0="00000000" w:usb1="00000000" w:usb2="00000010" w:usb3="00000000" w:csb0="00040000" w:csb1="00000000"/>
  </w:font>
  <w:font w:name="方正小标宋简体">
    <w:panose1 w:val="03000509000000000000"/>
    <w:charset w:val="86"/>
    <w:family w:val="script"/>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Segoe UI">
    <w:panose1 w:val="020B0502040204020203"/>
    <w:charset w:val="00"/>
    <w:family w:val="swiss"/>
    <w:pitch w:val="default"/>
    <w:sig w:usb0="E10022FF" w:usb1="C000E47F" w:usb2="00000029" w:usb3="00000000" w:csb0="200001DF" w:csb1="20000000"/>
  </w:font>
  <w:font w:name="等线">
    <w:altName w:val="Arial Unicode MS"/>
    <w:panose1 w:val="02010600030101010101"/>
    <w:charset w:val="86"/>
    <w:family w:val="auto"/>
    <w:pitch w:val="default"/>
    <w:sig w:usb0="00000000" w:usb1="00000000"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3316374"/>
    </w:sdtPr>
    <w:sdtContent>
      <w:p w14:paraId="65712E35">
        <w:pPr>
          <w:pStyle w:val="7"/>
          <w:ind w:firstLine="360"/>
          <w:jc w:val="center"/>
        </w:pPr>
        <w:r>
          <w:fldChar w:fldCharType="begin"/>
        </w:r>
        <w:r>
          <w:instrText xml:space="preserve">PAGE   \* MERGEFORMAT</w:instrText>
        </w:r>
        <w:r>
          <w:fldChar w:fldCharType="separate"/>
        </w:r>
        <w:r>
          <w:rPr>
            <w:lang w:val="zh-CN"/>
          </w:rPr>
          <w:t>18</w:t>
        </w:r>
        <w:r>
          <w:fldChar w:fldCharType="end"/>
        </w:r>
      </w:p>
    </w:sdtContent>
  </w:sdt>
  <w:p w14:paraId="4876BBE1">
    <w:pPr>
      <w:pStyle w:val="7"/>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29DAE6">
    <w:pPr>
      <w:pStyle w:val="7"/>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E5F54D">
    <w:pPr>
      <w:pStyle w:val="7"/>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640"/>
      </w:pPr>
      <w:r>
        <w:separator/>
      </w:r>
    </w:p>
  </w:footnote>
  <w:footnote w:type="continuationSeparator" w:id="1">
    <w:p>
      <w:pPr>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76FE0C">
    <w:pPr>
      <w:ind w:left="640"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5E7188">
    <w:pPr>
      <w:pStyle w:val="8"/>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6D28D2">
    <w:pPr>
      <w:pStyle w:val="8"/>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9102AD"/>
    <w:multiLevelType w:val="multilevel"/>
    <w:tmpl w:val="079102AD"/>
    <w:lvl w:ilvl="0" w:tentative="0">
      <w:start w:val="1"/>
      <w:numFmt w:val="decimal"/>
      <w:pStyle w:val="25"/>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DDE2B46"/>
    <w:multiLevelType w:val="multilevel"/>
    <w:tmpl w:val="0DDE2B46"/>
    <w:lvl w:ilvl="0" w:tentative="0">
      <w:start w:val="1"/>
      <w:numFmt w:val="lowerLetter"/>
      <w:pStyle w:val="29"/>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2">
    <w:nsid w:val="1DBF583A"/>
    <w:multiLevelType w:val="multilevel"/>
    <w:tmpl w:val="1DBF583A"/>
    <w:lvl w:ilvl="0" w:tentative="0">
      <w:start w:val="1"/>
      <w:numFmt w:val="decimal"/>
      <w:pStyle w:val="28"/>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3">
    <w:nsid w:val="1FC91163"/>
    <w:multiLevelType w:val="multilevel"/>
    <w:tmpl w:val="1FC91163"/>
    <w:lvl w:ilvl="0" w:tentative="0">
      <w:start w:val="1"/>
      <w:numFmt w:val="decimal"/>
      <w:pStyle w:val="20"/>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9"/>
      <w:suff w:val="nothing"/>
      <w:lvlText w:val="%1.%2　"/>
      <w:lvlJc w:val="left"/>
      <w:pPr>
        <w:ind w:left="525"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21"/>
      <w:suff w:val="nothing"/>
      <w:lvlText w:val="%1.%2.%3　"/>
      <w:lvlJc w:val="left"/>
      <w:pPr>
        <w:ind w:left="0" w:firstLine="0"/>
      </w:pPr>
      <w:rPr>
        <w:rFonts w:hint="eastAsia" w:ascii="黑体" w:hAnsi="Times New Roman" w:eastAsia="黑体"/>
        <w:b w:val="0"/>
        <w:i w:val="0"/>
        <w:sz w:val="21"/>
      </w:rPr>
    </w:lvl>
    <w:lvl w:ilvl="3" w:tentative="0">
      <w:start w:val="1"/>
      <w:numFmt w:val="decimal"/>
      <w:pStyle w:val="22"/>
      <w:suff w:val="nothing"/>
      <w:lvlText w:val="%1.%2.%3.%4　"/>
      <w:lvlJc w:val="left"/>
      <w:pPr>
        <w:ind w:left="0" w:firstLine="0"/>
      </w:pPr>
      <w:rPr>
        <w:rFonts w:hint="eastAsia" w:ascii="黑体" w:hAnsi="Times New Roman" w:eastAsia="黑体"/>
        <w:b w:val="0"/>
        <w:i w:val="0"/>
        <w:sz w:val="21"/>
      </w:rPr>
    </w:lvl>
    <w:lvl w:ilvl="4" w:tentative="0">
      <w:start w:val="1"/>
      <w:numFmt w:val="decimal"/>
      <w:pStyle w:val="23"/>
      <w:suff w:val="nothing"/>
      <w:lvlText w:val="%1.%2.%3.%4.%5　"/>
      <w:lvlJc w:val="left"/>
      <w:pPr>
        <w:ind w:left="0" w:firstLine="0"/>
      </w:pPr>
      <w:rPr>
        <w:rFonts w:hint="eastAsia" w:ascii="黑体" w:hAnsi="Times New Roman" w:eastAsia="黑体"/>
        <w:b w:val="0"/>
        <w:i w:val="0"/>
        <w:sz w:val="21"/>
      </w:rPr>
    </w:lvl>
    <w:lvl w:ilvl="5" w:tentative="0">
      <w:start w:val="1"/>
      <w:numFmt w:val="decimal"/>
      <w:pStyle w:val="24"/>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2A8F7113"/>
    <w:multiLevelType w:val="multilevel"/>
    <w:tmpl w:val="2A8F7113"/>
    <w:lvl w:ilvl="0" w:tentative="0">
      <w:start w:val="1"/>
      <w:numFmt w:val="upperLetter"/>
      <w:pStyle w:val="26"/>
      <w:suff w:val="space"/>
      <w:lvlText w:val="%1"/>
      <w:lvlJc w:val="left"/>
      <w:pPr>
        <w:ind w:left="623" w:hanging="425"/>
      </w:pPr>
      <w:rPr>
        <w:rFonts w:hint="eastAsia"/>
      </w:rPr>
    </w:lvl>
    <w:lvl w:ilvl="1" w:tentative="0">
      <w:start w:val="1"/>
      <w:numFmt w:val="decimal"/>
      <w:pStyle w:val="27"/>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5">
    <w:nsid w:val="557C2AF5"/>
    <w:multiLevelType w:val="multilevel"/>
    <w:tmpl w:val="557C2AF5"/>
    <w:lvl w:ilvl="0" w:tentative="0">
      <w:start w:val="1"/>
      <w:numFmt w:val="decimal"/>
      <w:pStyle w:val="18"/>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6">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33"/>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7">
    <w:nsid w:val="646260FA"/>
    <w:multiLevelType w:val="multilevel"/>
    <w:tmpl w:val="646260FA"/>
    <w:lvl w:ilvl="0" w:tentative="0">
      <w:start w:val="1"/>
      <w:numFmt w:val="decimal"/>
      <w:pStyle w:val="17"/>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8">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48"/>
      <w:suff w:val="nothing"/>
      <w:lvlText w:val="%1%2　"/>
      <w:lvlJc w:val="left"/>
      <w:pPr>
        <w:ind w:left="567" w:firstLine="0"/>
      </w:pPr>
      <w:rPr>
        <w:rFonts w:hint="eastAsia" w:ascii="黑体" w:eastAsia="黑体"/>
        <w:b w:val="0"/>
        <w:i w:val="0"/>
        <w:sz w:val="21"/>
      </w:rPr>
    </w:lvl>
    <w:lvl w:ilvl="2" w:tentative="0">
      <w:start w:val="1"/>
      <w:numFmt w:val="decimal"/>
      <w:pStyle w:val="47"/>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vlJc w:val="left"/>
      <w:pPr>
        <w:ind w:left="4962"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7"/>
  </w:num>
  <w:num w:numId="2">
    <w:abstractNumId w:val="5"/>
  </w:num>
  <w:num w:numId="3">
    <w:abstractNumId w:val="3"/>
  </w:num>
  <w:num w:numId="4">
    <w:abstractNumId w:val="0"/>
  </w:num>
  <w:num w:numId="5">
    <w:abstractNumId w:val="4"/>
  </w:num>
  <w:num w:numId="6">
    <w:abstractNumId w:val="2"/>
  </w:num>
  <w:num w:numId="7">
    <w:abstractNumId w:val="1"/>
  </w:num>
  <w:num w:numId="8">
    <w:abstractNumId w:val="6"/>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0000457E"/>
    <w:rsid w:val="00005CA4"/>
    <w:rsid w:val="000107BC"/>
    <w:rsid w:val="00013090"/>
    <w:rsid w:val="00016837"/>
    <w:rsid w:val="00021331"/>
    <w:rsid w:val="00023119"/>
    <w:rsid w:val="00023FE2"/>
    <w:rsid w:val="00024212"/>
    <w:rsid w:val="00024664"/>
    <w:rsid w:val="00032CD6"/>
    <w:rsid w:val="00033257"/>
    <w:rsid w:val="00033B11"/>
    <w:rsid w:val="00034233"/>
    <w:rsid w:val="00034BDB"/>
    <w:rsid w:val="00047D7B"/>
    <w:rsid w:val="00053B0B"/>
    <w:rsid w:val="000576D0"/>
    <w:rsid w:val="00057758"/>
    <w:rsid w:val="00060FE2"/>
    <w:rsid w:val="0007330D"/>
    <w:rsid w:val="00073F72"/>
    <w:rsid w:val="00074EB1"/>
    <w:rsid w:val="00076BBA"/>
    <w:rsid w:val="00080F2F"/>
    <w:rsid w:val="0008145A"/>
    <w:rsid w:val="0009177A"/>
    <w:rsid w:val="00093E74"/>
    <w:rsid w:val="000958B8"/>
    <w:rsid w:val="000962F6"/>
    <w:rsid w:val="000A0201"/>
    <w:rsid w:val="000A1EAE"/>
    <w:rsid w:val="000A3070"/>
    <w:rsid w:val="000A4601"/>
    <w:rsid w:val="000A77CD"/>
    <w:rsid w:val="000B572A"/>
    <w:rsid w:val="000B7C45"/>
    <w:rsid w:val="000D0ACE"/>
    <w:rsid w:val="000D15BE"/>
    <w:rsid w:val="000D3076"/>
    <w:rsid w:val="000D5AC8"/>
    <w:rsid w:val="000D6612"/>
    <w:rsid w:val="000D751C"/>
    <w:rsid w:val="000D7F33"/>
    <w:rsid w:val="000F10EB"/>
    <w:rsid w:val="000F3365"/>
    <w:rsid w:val="000F517A"/>
    <w:rsid w:val="001012D5"/>
    <w:rsid w:val="00101D2E"/>
    <w:rsid w:val="00103B83"/>
    <w:rsid w:val="00105252"/>
    <w:rsid w:val="001062E3"/>
    <w:rsid w:val="00106661"/>
    <w:rsid w:val="0010769F"/>
    <w:rsid w:val="00110864"/>
    <w:rsid w:val="00110F43"/>
    <w:rsid w:val="00112415"/>
    <w:rsid w:val="00113B53"/>
    <w:rsid w:val="00114946"/>
    <w:rsid w:val="0012251B"/>
    <w:rsid w:val="00122573"/>
    <w:rsid w:val="00126CA6"/>
    <w:rsid w:val="001273E7"/>
    <w:rsid w:val="00127EB0"/>
    <w:rsid w:val="00131B03"/>
    <w:rsid w:val="00132C5F"/>
    <w:rsid w:val="00133387"/>
    <w:rsid w:val="00133786"/>
    <w:rsid w:val="00134166"/>
    <w:rsid w:val="00134DD4"/>
    <w:rsid w:val="001435D3"/>
    <w:rsid w:val="001449B5"/>
    <w:rsid w:val="001463AC"/>
    <w:rsid w:val="0015152A"/>
    <w:rsid w:val="00156020"/>
    <w:rsid w:val="00156663"/>
    <w:rsid w:val="001611BB"/>
    <w:rsid w:val="00167167"/>
    <w:rsid w:val="001708F8"/>
    <w:rsid w:val="0018112C"/>
    <w:rsid w:val="00183467"/>
    <w:rsid w:val="00190A64"/>
    <w:rsid w:val="00190C6A"/>
    <w:rsid w:val="00191774"/>
    <w:rsid w:val="00191DCE"/>
    <w:rsid w:val="001923CF"/>
    <w:rsid w:val="001925FD"/>
    <w:rsid w:val="001930A1"/>
    <w:rsid w:val="00194FE3"/>
    <w:rsid w:val="00196054"/>
    <w:rsid w:val="0019711F"/>
    <w:rsid w:val="001A0DBF"/>
    <w:rsid w:val="001A3194"/>
    <w:rsid w:val="001A3402"/>
    <w:rsid w:val="001B0E92"/>
    <w:rsid w:val="001B36E5"/>
    <w:rsid w:val="001B3B17"/>
    <w:rsid w:val="001C5F01"/>
    <w:rsid w:val="001C793C"/>
    <w:rsid w:val="001D22F0"/>
    <w:rsid w:val="001D64DB"/>
    <w:rsid w:val="001D7816"/>
    <w:rsid w:val="001E34F6"/>
    <w:rsid w:val="001E5000"/>
    <w:rsid w:val="001F07A8"/>
    <w:rsid w:val="001F16E6"/>
    <w:rsid w:val="001F241E"/>
    <w:rsid w:val="001F537A"/>
    <w:rsid w:val="001F660A"/>
    <w:rsid w:val="001F79F5"/>
    <w:rsid w:val="001F7E35"/>
    <w:rsid w:val="00200436"/>
    <w:rsid w:val="00205603"/>
    <w:rsid w:val="00210916"/>
    <w:rsid w:val="002116FB"/>
    <w:rsid w:val="00214221"/>
    <w:rsid w:val="00217683"/>
    <w:rsid w:val="002223DD"/>
    <w:rsid w:val="002231E8"/>
    <w:rsid w:val="00223EB7"/>
    <w:rsid w:val="00224EB8"/>
    <w:rsid w:val="00231E62"/>
    <w:rsid w:val="00232769"/>
    <w:rsid w:val="00244ADA"/>
    <w:rsid w:val="00244C0C"/>
    <w:rsid w:val="002465C7"/>
    <w:rsid w:val="00251DE5"/>
    <w:rsid w:val="002524F5"/>
    <w:rsid w:val="002526F3"/>
    <w:rsid w:val="00254F7A"/>
    <w:rsid w:val="00256FE0"/>
    <w:rsid w:val="002614C6"/>
    <w:rsid w:val="002621E1"/>
    <w:rsid w:val="00262753"/>
    <w:rsid w:val="00262771"/>
    <w:rsid w:val="00262F6C"/>
    <w:rsid w:val="00264A7D"/>
    <w:rsid w:val="00264CE4"/>
    <w:rsid w:val="002651A9"/>
    <w:rsid w:val="00266090"/>
    <w:rsid w:val="0027235B"/>
    <w:rsid w:val="00283085"/>
    <w:rsid w:val="00283E25"/>
    <w:rsid w:val="0029084D"/>
    <w:rsid w:val="00291D7F"/>
    <w:rsid w:val="00291EF3"/>
    <w:rsid w:val="002952AC"/>
    <w:rsid w:val="002A2FCF"/>
    <w:rsid w:val="002A4D06"/>
    <w:rsid w:val="002A5D80"/>
    <w:rsid w:val="002B07E3"/>
    <w:rsid w:val="002B23AB"/>
    <w:rsid w:val="002B2E35"/>
    <w:rsid w:val="002B3D69"/>
    <w:rsid w:val="002B5497"/>
    <w:rsid w:val="002C1D2A"/>
    <w:rsid w:val="002C4FFB"/>
    <w:rsid w:val="002C5534"/>
    <w:rsid w:val="002C611B"/>
    <w:rsid w:val="002C73B6"/>
    <w:rsid w:val="002D0BD0"/>
    <w:rsid w:val="002D49CC"/>
    <w:rsid w:val="002D6D1E"/>
    <w:rsid w:val="002E073F"/>
    <w:rsid w:val="002E7467"/>
    <w:rsid w:val="002E7A35"/>
    <w:rsid w:val="002F28F6"/>
    <w:rsid w:val="002F34AA"/>
    <w:rsid w:val="002F4B59"/>
    <w:rsid w:val="002F4D7B"/>
    <w:rsid w:val="002F513F"/>
    <w:rsid w:val="002F613B"/>
    <w:rsid w:val="003025DF"/>
    <w:rsid w:val="00303E23"/>
    <w:rsid w:val="00304BFD"/>
    <w:rsid w:val="00306925"/>
    <w:rsid w:val="0031011D"/>
    <w:rsid w:val="003144B8"/>
    <w:rsid w:val="00314640"/>
    <w:rsid w:val="00327623"/>
    <w:rsid w:val="0033375C"/>
    <w:rsid w:val="0034073B"/>
    <w:rsid w:val="0034090F"/>
    <w:rsid w:val="00343C24"/>
    <w:rsid w:val="00345BCC"/>
    <w:rsid w:val="00353735"/>
    <w:rsid w:val="00354D06"/>
    <w:rsid w:val="00356D19"/>
    <w:rsid w:val="00357A1D"/>
    <w:rsid w:val="00357E18"/>
    <w:rsid w:val="0036001E"/>
    <w:rsid w:val="00360952"/>
    <w:rsid w:val="00362F10"/>
    <w:rsid w:val="00365252"/>
    <w:rsid w:val="00372A01"/>
    <w:rsid w:val="00372C98"/>
    <w:rsid w:val="00373BAD"/>
    <w:rsid w:val="00374390"/>
    <w:rsid w:val="003754CF"/>
    <w:rsid w:val="00381796"/>
    <w:rsid w:val="00382AB2"/>
    <w:rsid w:val="00386647"/>
    <w:rsid w:val="00391718"/>
    <w:rsid w:val="00391984"/>
    <w:rsid w:val="00392E22"/>
    <w:rsid w:val="00396025"/>
    <w:rsid w:val="0039787A"/>
    <w:rsid w:val="003B2F32"/>
    <w:rsid w:val="003B5050"/>
    <w:rsid w:val="003B729F"/>
    <w:rsid w:val="003C2D44"/>
    <w:rsid w:val="003C483D"/>
    <w:rsid w:val="003D3AF0"/>
    <w:rsid w:val="003D48B6"/>
    <w:rsid w:val="003D51D0"/>
    <w:rsid w:val="003D5CB5"/>
    <w:rsid w:val="003D6E58"/>
    <w:rsid w:val="003E330B"/>
    <w:rsid w:val="003E4A86"/>
    <w:rsid w:val="003F284D"/>
    <w:rsid w:val="003F28D0"/>
    <w:rsid w:val="003F3119"/>
    <w:rsid w:val="003F392A"/>
    <w:rsid w:val="003F3AAC"/>
    <w:rsid w:val="003F727B"/>
    <w:rsid w:val="0040035D"/>
    <w:rsid w:val="00403F64"/>
    <w:rsid w:val="00404BD1"/>
    <w:rsid w:val="004050BE"/>
    <w:rsid w:val="0040610D"/>
    <w:rsid w:val="00406A80"/>
    <w:rsid w:val="004119F0"/>
    <w:rsid w:val="0042062E"/>
    <w:rsid w:val="00424AF1"/>
    <w:rsid w:val="00424FCB"/>
    <w:rsid w:val="00425860"/>
    <w:rsid w:val="00427B81"/>
    <w:rsid w:val="00434E46"/>
    <w:rsid w:val="00434F90"/>
    <w:rsid w:val="004378E4"/>
    <w:rsid w:val="0044118D"/>
    <w:rsid w:val="004441BD"/>
    <w:rsid w:val="004503F4"/>
    <w:rsid w:val="0045483D"/>
    <w:rsid w:val="00454F29"/>
    <w:rsid w:val="00455661"/>
    <w:rsid w:val="00455F92"/>
    <w:rsid w:val="0046025A"/>
    <w:rsid w:val="00460359"/>
    <w:rsid w:val="004605D8"/>
    <w:rsid w:val="004626AF"/>
    <w:rsid w:val="00465230"/>
    <w:rsid w:val="00467DEF"/>
    <w:rsid w:val="004715D8"/>
    <w:rsid w:val="004805D0"/>
    <w:rsid w:val="00480BA1"/>
    <w:rsid w:val="004814A9"/>
    <w:rsid w:val="0048357F"/>
    <w:rsid w:val="00484EF3"/>
    <w:rsid w:val="00485212"/>
    <w:rsid w:val="004865C9"/>
    <w:rsid w:val="0049011A"/>
    <w:rsid w:val="00491FE3"/>
    <w:rsid w:val="0049241F"/>
    <w:rsid w:val="0049390C"/>
    <w:rsid w:val="00496A62"/>
    <w:rsid w:val="004A25C4"/>
    <w:rsid w:val="004A2878"/>
    <w:rsid w:val="004A614E"/>
    <w:rsid w:val="004A660C"/>
    <w:rsid w:val="004A76AB"/>
    <w:rsid w:val="004B2E7F"/>
    <w:rsid w:val="004B5483"/>
    <w:rsid w:val="004C4136"/>
    <w:rsid w:val="004D155D"/>
    <w:rsid w:val="004D2302"/>
    <w:rsid w:val="004D5B22"/>
    <w:rsid w:val="004E3026"/>
    <w:rsid w:val="004E3EF3"/>
    <w:rsid w:val="004F0593"/>
    <w:rsid w:val="004F48C2"/>
    <w:rsid w:val="004F74F0"/>
    <w:rsid w:val="004F7FA9"/>
    <w:rsid w:val="005009D1"/>
    <w:rsid w:val="0050156A"/>
    <w:rsid w:val="00503FC7"/>
    <w:rsid w:val="00505469"/>
    <w:rsid w:val="005066ED"/>
    <w:rsid w:val="005067C2"/>
    <w:rsid w:val="0051028F"/>
    <w:rsid w:val="0051148B"/>
    <w:rsid w:val="00513080"/>
    <w:rsid w:val="00514C97"/>
    <w:rsid w:val="005159F5"/>
    <w:rsid w:val="0052619A"/>
    <w:rsid w:val="00526200"/>
    <w:rsid w:val="005269CF"/>
    <w:rsid w:val="00530742"/>
    <w:rsid w:val="00533886"/>
    <w:rsid w:val="0053418A"/>
    <w:rsid w:val="00534CFB"/>
    <w:rsid w:val="00535AC6"/>
    <w:rsid w:val="00537550"/>
    <w:rsid w:val="0054317B"/>
    <w:rsid w:val="0054625A"/>
    <w:rsid w:val="00546DEA"/>
    <w:rsid w:val="005639F8"/>
    <w:rsid w:val="005656AA"/>
    <w:rsid w:val="005742DB"/>
    <w:rsid w:val="00577C08"/>
    <w:rsid w:val="005802BD"/>
    <w:rsid w:val="00580CFB"/>
    <w:rsid w:val="0058151C"/>
    <w:rsid w:val="00581CE7"/>
    <w:rsid w:val="00582F5C"/>
    <w:rsid w:val="00584615"/>
    <w:rsid w:val="0058472C"/>
    <w:rsid w:val="005870E5"/>
    <w:rsid w:val="005873D6"/>
    <w:rsid w:val="005876DE"/>
    <w:rsid w:val="00596702"/>
    <w:rsid w:val="005A1A17"/>
    <w:rsid w:val="005A4523"/>
    <w:rsid w:val="005A4707"/>
    <w:rsid w:val="005B0CDC"/>
    <w:rsid w:val="005B23F7"/>
    <w:rsid w:val="005B7128"/>
    <w:rsid w:val="005B76D5"/>
    <w:rsid w:val="005B7B7E"/>
    <w:rsid w:val="005C468E"/>
    <w:rsid w:val="005D06D6"/>
    <w:rsid w:val="005D1EE1"/>
    <w:rsid w:val="005D2762"/>
    <w:rsid w:val="005D2AEE"/>
    <w:rsid w:val="005D3F96"/>
    <w:rsid w:val="005D5DDF"/>
    <w:rsid w:val="005D6A5C"/>
    <w:rsid w:val="005E05D4"/>
    <w:rsid w:val="005E207A"/>
    <w:rsid w:val="005E2143"/>
    <w:rsid w:val="005F0995"/>
    <w:rsid w:val="005F1E35"/>
    <w:rsid w:val="005F219D"/>
    <w:rsid w:val="005F36D9"/>
    <w:rsid w:val="005F4F92"/>
    <w:rsid w:val="005F6C71"/>
    <w:rsid w:val="005F71EC"/>
    <w:rsid w:val="005F7613"/>
    <w:rsid w:val="00603E0D"/>
    <w:rsid w:val="006062AE"/>
    <w:rsid w:val="0060656D"/>
    <w:rsid w:val="00606B5A"/>
    <w:rsid w:val="00610884"/>
    <w:rsid w:val="00614347"/>
    <w:rsid w:val="006147DA"/>
    <w:rsid w:val="00624A4A"/>
    <w:rsid w:val="0062702A"/>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90D6C"/>
    <w:rsid w:val="00693E1A"/>
    <w:rsid w:val="006945D3"/>
    <w:rsid w:val="006A1BD7"/>
    <w:rsid w:val="006A3112"/>
    <w:rsid w:val="006B1080"/>
    <w:rsid w:val="006B6EA3"/>
    <w:rsid w:val="006C0CC1"/>
    <w:rsid w:val="006C64D5"/>
    <w:rsid w:val="006C6B87"/>
    <w:rsid w:val="006C70ED"/>
    <w:rsid w:val="006D4B56"/>
    <w:rsid w:val="006D4CCC"/>
    <w:rsid w:val="006D5D5F"/>
    <w:rsid w:val="006D6F57"/>
    <w:rsid w:val="006E155C"/>
    <w:rsid w:val="006E65EC"/>
    <w:rsid w:val="006E7520"/>
    <w:rsid w:val="006F03ED"/>
    <w:rsid w:val="006F67E6"/>
    <w:rsid w:val="006F77F7"/>
    <w:rsid w:val="00700D32"/>
    <w:rsid w:val="0070138D"/>
    <w:rsid w:val="00701A2B"/>
    <w:rsid w:val="0070266E"/>
    <w:rsid w:val="00705429"/>
    <w:rsid w:val="0070730B"/>
    <w:rsid w:val="00712BC5"/>
    <w:rsid w:val="00715CA4"/>
    <w:rsid w:val="00716EAC"/>
    <w:rsid w:val="00720395"/>
    <w:rsid w:val="0072269A"/>
    <w:rsid w:val="00722AAE"/>
    <w:rsid w:val="0072448B"/>
    <w:rsid w:val="007245EF"/>
    <w:rsid w:val="00726016"/>
    <w:rsid w:val="00726F82"/>
    <w:rsid w:val="007319BC"/>
    <w:rsid w:val="007432F4"/>
    <w:rsid w:val="0075401E"/>
    <w:rsid w:val="00755471"/>
    <w:rsid w:val="007556A8"/>
    <w:rsid w:val="00756686"/>
    <w:rsid w:val="00757B9E"/>
    <w:rsid w:val="00760DDA"/>
    <w:rsid w:val="00760FBD"/>
    <w:rsid w:val="007763B1"/>
    <w:rsid w:val="007768A2"/>
    <w:rsid w:val="00776FE6"/>
    <w:rsid w:val="007812EA"/>
    <w:rsid w:val="00781F1A"/>
    <w:rsid w:val="00782C84"/>
    <w:rsid w:val="00784D8F"/>
    <w:rsid w:val="00785953"/>
    <w:rsid w:val="007900D6"/>
    <w:rsid w:val="007912E9"/>
    <w:rsid w:val="007923BD"/>
    <w:rsid w:val="00793820"/>
    <w:rsid w:val="007950ED"/>
    <w:rsid w:val="00797654"/>
    <w:rsid w:val="00797B14"/>
    <w:rsid w:val="007A022B"/>
    <w:rsid w:val="007A1A73"/>
    <w:rsid w:val="007A36E9"/>
    <w:rsid w:val="007A4FEA"/>
    <w:rsid w:val="007A5B26"/>
    <w:rsid w:val="007A710B"/>
    <w:rsid w:val="007B0B70"/>
    <w:rsid w:val="007B317A"/>
    <w:rsid w:val="007B4614"/>
    <w:rsid w:val="007B7812"/>
    <w:rsid w:val="007C11E0"/>
    <w:rsid w:val="007C3308"/>
    <w:rsid w:val="007C4C1F"/>
    <w:rsid w:val="007D1773"/>
    <w:rsid w:val="007D3096"/>
    <w:rsid w:val="007D4356"/>
    <w:rsid w:val="007D520B"/>
    <w:rsid w:val="007D5225"/>
    <w:rsid w:val="007D6192"/>
    <w:rsid w:val="007D646F"/>
    <w:rsid w:val="007E0035"/>
    <w:rsid w:val="007E29D0"/>
    <w:rsid w:val="007F05BA"/>
    <w:rsid w:val="007F1688"/>
    <w:rsid w:val="007F17C2"/>
    <w:rsid w:val="007F3051"/>
    <w:rsid w:val="007F445F"/>
    <w:rsid w:val="007F69C4"/>
    <w:rsid w:val="00800158"/>
    <w:rsid w:val="00800C49"/>
    <w:rsid w:val="00805B1A"/>
    <w:rsid w:val="00812666"/>
    <w:rsid w:val="00816354"/>
    <w:rsid w:val="00825BEF"/>
    <w:rsid w:val="008275DE"/>
    <w:rsid w:val="0083025F"/>
    <w:rsid w:val="00831A4E"/>
    <w:rsid w:val="008331FF"/>
    <w:rsid w:val="00834158"/>
    <w:rsid w:val="00834F29"/>
    <w:rsid w:val="00837133"/>
    <w:rsid w:val="00841FDD"/>
    <w:rsid w:val="00843099"/>
    <w:rsid w:val="00844A63"/>
    <w:rsid w:val="00845B6B"/>
    <w:rsid w:val="0085555C"/>
    <w:rsid w:val="0085722C"/>
    <w:rsid w:val="00860076"/>
    <w:rsid w:val="00864B42"/>
    <w:rsid w:val="00864EDC"/>
    <w:rsid w:val="008717FD"/>
    <w:rsid w:val="00872085"/>
    <w:rsid w:val="0087311E"/>
    <w:rsid w:val="008766A7"/>
    <w:rsid w:val="0088023F"/>
    <w:rsid w:val="00884AB2"/>
    <w:rsid w:val="008853E8"/>
    <w:rsid w:val="00890B67"/>
    <w:rsid w:val="00893361"/>
    <w:rsid w:val="00893A8E"/>
    <w:rsid w:val="00893CE3"/>
    <w:rsid w:val="008941F8"/>
    <w:rsid w:val="0089639E"/>
    <w:rsid w:val="0089684C"/>
    <w:rsid w:val="008A328F"/>
    <w:rsid w:val="008A42EB"/>
    <w:rsid w:val="008A4E58"/>
    <w:rsid w:val="008A5709"/>
    <w:rsid w:val="008B1A6F"/>
    <w:rsid w:val="008B35DA"/>
    <w:rsid w:val="008B6562"/>
    <w:rsid w:val="008B7C56"/>
    <w:rsid w:val="008C15FB"/>
    <w:rsid w:val="008C1BE0"/>
    <w:rsid w:val="008C5328"/>
    <w:rsid w:val="008C6844"/>
    <w:rsid w:val="008D1502"/>
    <w:rsid w:val="008D2E6B"/>
    <w:rsid w:val="008D3059"/>
    <w:rsid w:val="008D44E2"/>
    <w:rsid w:val="008D5C1F"/>
    <w:rsid w:val="008D612C"/>
    <w:rsid w:val="008E0C90"/>
    <w:rsid w:val="008E340A"/>
    <w:rsid w:val="008F024A"/>
    <w:rsid w:val="008F2C3A"/>
    <w:rsid w:val="008F4CD3"/>
    <w:rsid w:val="008F62FB"/>
    <w:rsid w:val="00900B1D"/>
    <w:rsid w:val="00901C67"/>
    <w:rsid w:val="009058DF"/>
    <w:rsid w:val="00910D7C"/>
    <w:rsid w:val="00910E34"/>
    <w:rsid w:val="00911CE5"/>
    <w:rsid w:val="009133CD"/>
    <w:rsid w:val="0091490C"/>
    <w:rsid w:val="009204DB"/>
    <w:rsid w:val="009206E4"/>
    <w:rsid w:val="0092128F"/>
    <w:rsid w:val="00922063"/>
    <w:rsid w:val="009220D3"/>
    <w:rsid w:val="009226F2"/>
    <w:rsid w:val="00926314"/>
    <w:rsid w:val="00930317"/>
    <w:rsid w:val="00933333"/>
    <w:rsid w:val="0093364F"/>
    <w:rsid w:val="00934E57"/>
    <w:rsid w:val="00936A0A"/>
    <w:rsid w:val="009426FA"/>
    <w:rsid w:val="00944176"/>
    <w:rsid w:val="0094724D"/>
    <w:rsid w:val="009510ED"/>
    <w:rsid w:val="00954E13"/>
    <w:rsid w:val="00955098"/>
    <w:rsid w:val="0095555D"/>
    <w:rsid w:val="00962A6D"/>
    <w:rsid w:val="009642C6"/>
    <w:rsid w:val="0096452B"/>
    <w:rsid w:val="00975377"/>
    <w:rsid w:val="0097752F"/>
    <w:rsid w:val="00980E2D"/>
    <w:rsid w:val="00981308"/>
    <w:rsid w:val="00983CDC"/>
    <w:rsid w:val="00983E62"/>
    <w:rsid w:val="00984743"/>
    <w:rsid w:val="00985D99"/>
    <w:rsid w:val="00986A79"/>
    <w:rsid w:val="00987A4E"/>
    <w:rsid w:val="00987C57"/>
    <w:rsid w:val="00987EDC"/>
    <w:rsid w:val="0099188F"/>
    <w:rsid w:val="00993328"/>
    <w:rsid w:val="00995822"/>
    <w:rsid w:val="00995A97"/>
    <w:rsid w:val="00997A44"/>
    <w:rsid w:val="009A1FC7"/>
    <w:rsid w:val="009A7254"/>
    <w:rsid w:val="009B2BF4"/>
    <w:rsid w:val="009B52A3"/>
    <w:rsid w:val="009B53BA"/>
    <w:rsid w:val="009B609B"/>
    <w:rsid w:val="009B6F4E"/>
    <w:rsid w:val="009B6FA5"/>
    <w:rsid w:val="009B74CD"/>
    <w:rsid w:val="009D1F6F"/>
    <w:rsid w:val="009D38DB"/>
    <w:rsid w:val="009D3D0A"/>
    <w:rsid w:val="009D628E"/>
    <w:rsid w:val="009D62DE"/>
    <w:rsid w:val="009E1F06"/>
    <w:rsid w:val="009E5DEF"/>
    <w:rsid w:val="009E6B6B"/>
    <w:rsid w:val="009F3B36"/>
    <w:rsid w:val="009F55E5"/>
    <w:rsid w:val="009F79E3"/>
    <w:rsid w:val="00A01A52"/>
    <w:rsid w:val="00A02A0A"/>
    <w:rsid w:val="00A04717"/>
    <w:rsid w:val="00A04E49"/>
    <w:rsid w:val="00A10236"/>
    <w:rsid w:val="00A10B7E"/>
    <w:rsid w:val="00A1141C"/>
    <w:rsid w:val="00A11E9D"/>
    <w:rsid w:val="00A1598C"/>
    <w:rsid w:val="00A15EDE"/>
    <w:rsid w:val="00A163CB"/>
    <w:rsid w:val="00A16BE5"/>
    <w:rsid w:val="00A24789"/>
    <w:rsid w:val="00A25268"/>
    <w:rsid w:val="00A34924"/>
    <w:rsid w:val="00A35F3F"/>
    <w:rsid w:val="00A40234"/>
    <w:rsid w:val="00A4357F"/>
    <w:rsid w:val="00A4496C"/>
    <w:rsid w:val="00A51BDA"/>
    <w:rsid w:val="00A52FED"/>
    <w:rsid w:val="00A547EA"/>
    <w:rsid w:val="00A54EE3"/>
    <w:rsid w:val="00A60040"/>
    <w:rsid w:val="00A61125"/>
    <w:rsid w:val="00A61D05"/>
    <w:rsid w:val="00A6229E"/>
    <w:rsid w:val="00A64033"/>
    <w:rsid w:val="00A65635"/>
    <w:rsid w:val="00A66230"/>
    <w:rsid w:val="00A66B33"/>
    <w:rsid w:val="00A706DE"/>
    <w:rsid w:val="00A70BEA"/>
    <w:rsid w:val="00A7226B"/>
    <w:rsid w:val="00A77E2C"/>
    <w:rsid w:val="00A806B3"/>
    <w:rsid w:val="00A80E57"/>
    <w:rsid w:val="00A82337"/>
    <w:rsid w:val="00A90118"/>
    <w:rsid w:val="00A90821"/>
    <w:rsid w:val="00A928C5"/>
    <w:rsid w:val="00A94CCD"/>
    <w:rsid w:val="00A955A3"/>
    <w:rsid w:val="00A958C2"/>
    <w:rsid w:val="00A95C9E"/>
    <w:rsid w:val="00A96933"/>
    <w:rsid w:val="00A97D34"/>
    <w:rsid w:val="00AA175E"/>
    <w:rsid w:val="00AA1B3F"/>
    <w:rsid w:val="00AA565B"/>
    <w:rsid w:val="00AA6572"/>
    <w:rsid w:val="00AA6DE0"/>
    <w:rsid w:val="00AB0EDD"/>
    <w:rsid w:val="00AB238D"/>
    <w:rsid w:val="00AC5DC1"/>
    <w:rsid w:val="00AD1275"/>
    <w:rsid w:val="00AD56BA"/>
    <w:rsid w:val="00AE5941"/>
    <w:rsid w:val="00AE7E72"/>
    <w:rsid w:val="00AF00B0"/>
    <w:rsid w:val="00AF0B6E"/>
    <w:rsid w:val="00AF0C1B"/>
    <w:rsid w:val="00AF0CE5"/>
    <w:rsid w:val="00AF1152"/>
    <w:rsid w:val="00AF20DE"/>
    <w:rsid w:val="00AF2C7E"/>
    <w:rsid w:val="00AF337C"/>
    <w:rsid w:val="00AF365B"/>
    <w:rsid w:val="00AF3BC9"/>
    <w:rsid w:val="00B0152E"/>
    <w:rsid w:val="00B06F77"/>
    <w:rsid w:val="00B17EA4"/>
    <w:rsid w:val="00B2401D"/>
    <w:rsid w:val="00B271E2"/>
    <w:rsid w:val="00B27F1E"/>
    <w:rsid w:val="00B320E0"/>
    <w:rsid w:val="00B32D83"/>
    <w:rsid w:val="00B35A2B"/>
    <w:rsid w:val="00B401C8"/>
    <w:rsid w:val="00B44C87"/>
    <w:rsid w:val="00B47772"/>
    <w:rsid w:val="00B516AA"/>
    <w:rsid w:val="00B525E7"/>
    <w:rsid w:val="00B5298A"/>
    <w:rsid w:val="00B52BC2"/>
    <w:rsid w:val="00B54B9E"/>
    <w:rsid w:val="00B5655B"/>
    <w:rsid w:val="00B602C0"/>
    <w:rsid w:val="00B639CC"/>
    <w:rsid w:val="00B65AA6"/>
    <w:rsid w:val="00B67A38"/>
    <w:rsid w:val="00B736AC"/>
    <w:rsid w:val="00B753D4"/>
    <w:rsid w:val="00B777DB"/>
    <w:rsid w:val="00B804DA"/>
    <w:rsid w:val="00B83BD4"/>
    <w:rsid w:val="00B873B1"/>
    <w:rsid w:val="00B91C42"/>
    <w:rsid w:val="00BB0ED6"/>
    <w:rsid w:val="00BB1C0A"/>
    <w:rsid w:val="00BB4376"/>
    <w:rsid w:val="00BB4A45"/>
    <w:rsid w:val="00BB4B74"/>
    <w:rsid w:val="00BB6FED"/>
    <w:rsid w:val="00BC41B2"/>
    <w:rsid w:val="00BC45B6"/>
    <w:rsid w:val="00BC4F9E"/>
    <w:rsid w:val="00BE0799"/>
    <w:rsid w:val="00BE26D9"/>
    <w:rsid w:val="00BF1119"/>
    <w:rsid w:val="00BF1929"/>
    <w:rsid w:val="00BF5510"/>
    <w:rsid w:val="00C00C31"/>
    <w:rsid w:val="00C070A2"/>
    <w:rsid w:val="00C10D37"/>
    <w:rsid w:val="00C13A0F"/>
    <w:rsid w:val="00C14C4A"/>
    <w:rsid w:val="00C17E66"/>
    <w:rsid w:val="00C22482"/>
    <w:rsid w:val="00C242A9"/>
    <w:rsid w:val="00C24D87"/>
    <w:rsid w:val="00C3032A"/>
    <w:rsid w:val="00C31C6D"/>
    <w:rsid w:val="00C31FF2"/>
    <w:rsid w:val="00C33C36"/>
    <w:rsid w:val="00C34DAD"/>
    <w:rsid w:val="00C34E53"/>
    <w:rsid w:val="00C37264"/>
    <w:rsid w:val="00C408D1"/>
    <w:rsid w:val="00C44645"/>
    <w:rsid w:val="00C50A3F"/>
    <w:rsid w:val="00C51474"/>
    <w:rsid w:val="00C51847"/>
    <w:rsid w:val="00C55C36"/>
    <w:rsid w:val="00C61072"/>
    <w:rsid w:val="00C6137D"/>
    <w:rsid w:val="00C61540"/>
    <w:rsid w:val="00C61B0C"/>
    <w:rsid w:val="00C634E4"/>
    <w:rsid w:val="00C67D4C"/>
    <w:rsid w:val="00C706FA"/>
    <w:rsid w:val="00C808FE"/>
    <w:rsid w:val="00C81D18"/>
    <w:rsid w:val="00C82258"/>
    <w:rsid w:val="00C82744"/>
    <w:rsid w:val="00C836D9"/>
    <w:rsid w:val="00C84109"/>
    <w:rsid w:val="00C843F0"/>
    <w:rsid w:val="00C85F66"/>
    <w:rsid w:val="00C95F0B"/>
    <w:rsid w:val="00C96B0D"/>
    <w:rsid w:val="00C97F70"/>
    <w:rsid w:val="00CA0CFD"/>
    <w:rsid w:val="00CA37C8"/>
    <w:rsid w:val="00CA5047"/>
    <w:rsid w:val="00CA7C2A"/>
    <w:rsid w:val="00CB618D"/>
    <w:rsid w:val="00CC1221"/>
    <w:rsid w:val="00CC4EE7"/>
    <w:rsid w:val="00CC5527"/>
    <w:rsid w:val="00CD4CC6"/>
    <w:rsid w:val="00CD5C22"/>
    <w:rsid w:val="00CE0D8E"/>
    <w:rsid w:val="00CE363E"/>
    <w:rsid w:val="00CF1430"/>
    <w:rsid w:val="00CF1AE4"/>
    <w:rsid w:val="00D0046C"/>
    <w:rsid w:val="00D00979"/>
    <w:rsid w:val="00D01E3B"/>
    <w:rsid w:val="00D05480"/>
    <w:rsid w:val="00D06EEA"/>
    <w:rsid w:val="00D11946"/>
    <w:rsid w:val="00D14F71"/>
    <w:rsid w:val="00D15612"/>
    <w:rsid w:val="00D156E5"/>
    <w:rsid w:val="00D17A89"/>
    <w:rsid w:val="00D204BD"/>
    <w:rsid w:val="00D21619"/>
    <w:rsid w:val="00D21B1B"/>
    <w:rsid w:val="00D220B5"/>
    <w:rsid w:val="00D26063"/>
    <w:rsid w:val="00D30FB0"/>
    <w:rsid w:val="00D32832"/>
    <w:rsid w:val="00D33C76"/>
    <w:rsid w:val="00D34827"/>
    <w:rsid w:val="00D3642E"/>
    <w:rsid w:val="00D40196"/>
    <w:rsid w:val="00D41F8D"/>
    <w:rsid w:val="00D451AB"/>
    <w:rsid w:val="00D50991"/>
    <w:rsid w:val="00D578AF"/>
    <w:rsid w:val="00D61DA0"/>
    <w:rsid w:val="00D65D7A"/>
    <w:rsid w:val="00D6793A"/>
    <w:rsid w:val="00D6799E"/>
    <w:rsid w:val="00D67BA3"/>
    <w:rsid w:val="00D7347C"/>
    <w:rsid w:val="00D74D7F"/>
    <w:rsid w:val="00D75348"/>
    <w:rsid w:val="00D80F6F"/>
    <w:rsid w:val="00D820E3"/>
    <w:rsid w:val="00D9342C"/>
    <w:rsid w:val="00D944CB"/>
    <w:rsid w:val="00DA326B"/>
    <w:rsid w:val="00DA3BCE"/>
    <w:rsid w:val="00DA59FA"/>
    <w:rsid w:val="00DB1157"/>
    <w:rsid w:val="00DB295F"/>
    <w:rsid w:val="00DB29E4"/>
    <w:rsid w:val="00DB3826"/>
    <w:rsid w:val="00DB47DC"/>
    <w:rsid w:val="00DB74F2"/>
    <w:rsid w:val="00DC205C"/>
    <w:rsid w:val="00DC5687"/>
    <w:rsid w:val="00DC6575"/>
    <w:rsid w:val="00DC7A5D"/>
    <w:rsid w:val="00DD00EF"/>
    <w:rsid w:val="00DD1CF8"/>
    <w:rsid w:val="00DD5D12"/>
    <w:rsid w:val="00DD6102"/>
    <w:rsid w:val="00DD71F1"/>
    <w:rsid w:val="00DE00C5"/>
    <w:rsid w:val="00DE3FB5"/>
    <w:rsid w:val="00DF2749"/>
    <w:rsid w:val="00DF60A6"/>
    <w:rsid w:val="00E00D0A"/>
    <w:rsid w:val="00E05B5A"/>
    <w:rsid w:val="00E05C6B"/>
    <w:rsid w:val="00E05F1B"/>
    <w:rsid w:val="00E07B93"/>
    <w:rsid w:val="00E07E15"/>
    <w:rsid w:val="00E1354A"/>
    <w:rsid w:val="00E161F8"/>
    <w:rsid w:val="00E26EE5"/>
    <w:rsid w:val="00E32815"/>
    <w:rsid w:val="00E33554"/>
    <w:rsid w:val="00E40596"/>
    <w:rsid w:val="00E40BA9"/>
    <w:rsid w:val="00E41B77"/>
    <w:rsid w:val="00E45EC3"/>
    <w:rsid w:val="00E47C4F"/>
    <w:rsid w:val="00E541A3"/>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B0752"/>
    <w:rsid w:val="00EB0AE1"/>
    <w:rsid w:val="00EB1186"/>
    <w:rsid w:val="00EB751F"/>
    <w:rsid w:val="00EB77CC"/>
    <w:rsid w:val="00EC0997"/>
    <w:rsid w:val="00EC2EEF"/>
    <w:rsid w:val="00EC5DDD"/>
    <w:rsid w:val="00ED2F39"/>
    <w:rsid w:val="00ED30F4"/>
    <w:rsid w:val="00ED43BB"/>
    <w:rsid w:val="00ED449A"/>
    <w:rsid w:val="00ED4D05"/>
    <w:rsid w:val="00ED68E9"/>
    <w:rsid w:val="00EE1FC2"/>
    <w:rsid w:val="00EF3757"/>
    <w:rsid w:val="00EF670C"/>
    <w:rsid w:val="00F10C0E"/>
    <w:rsid w:val="00F11F09"/>
    <w:rsid w:val="00F1455B"/>
    <w:rsid w:val="00F16D36"/>
    <w:rsid w:val="00F210FD"/>
    <w:rsid w:val="00F211A3"/>
    <w:rsid w:val="00F250D2"/>
    <w:rsid w:val="00F33087"/>
    <w:rsid w:val="00F350B2"/>
    <w:rsid w:val="00F372A2"/>
    <w:rsid w:val="00F4243D"/>
    <w:rsid w:val="00F4304A"/>
    <w:rsid w:val="00F43155"/>
    <w:rsid w:val="00F44DA4"/>
    <w:rsid w:val="00F45BA7"/>
    <w:rsid w:val="00F45BE9"/>
    <w:rsid w:val="00F46308"/>
    <w:rsid w:val="00F46F4A"/>
    <w:rsid w:val="00F52CE1"/>
    <w:rsid w:val="00F57917"/>
    <w:rsid w:val="00F60788"/>
    <w:rsid w:val="00F7063D"/>
    <w:rsid w:val="00F70C88"/>
    <w:rsid w:val="00F7168A"/>
    <w:rsid w:val="00F734AD"/>
    <w:rsid w:val="00F745D9"/>
    <w:rsid w:val="00F750D9"/>
    <w:rsid w:val="00F76618"/>
    <w:rsid w:val="00F76E42"/>
    <w:rsid w:val="00F81D1B"/>
    <w:rsid w:val="00F83FBC"/>
    <w:rsid w:val="00F841A7"/>
    <w:rsid w:val="00F84292"/>
    <w:rsid w:val="00F85E04"/>
    <w:rsid w:val="00F864DA"/>
    <w:rsid w:val="00F9134D"/>
    <w:rsid w:val="00F916DA"/>
    <w:rsid w:val="00F92643"/>
    <w:rsid w:val="00F936B3"/>
    <w:rsid w:val="00F97F7D"/>
    <w:rsid w:val="00FA0333"/>
    <w:rsid w:val="00FA19D5"/>
    <w:rsid w:val="00FA3EE8"/>
    <w:rsid w:val="00FA6669"/>
    <w:rsid w:val="00FA7639"/>
    <w:rsid w:val="00FB3457"/>
    <w:rsid w:val="00FB3E2C"/>
    <w:rsid w:val="00FB695B"/>
    <w:rsid w:val="00FC037E"/>
    <w:rsid w:val="00FC19B9"/>
    <w:rsid w:val="00FC4DE3"/>
    <w:rsid w:val="00FC6716"/>
    <w:rsid w:val="00FD00A5"/>
    <w:rsid w:val="00FD4B0F"/>
    <w:rsid w:val="00FE0661"/>
    <w:rsid w:val="00FF0C09"/>
    <w:rsid w:val="00FF1DD7"/>
    <w:rsid w:val="00FF2409"/>
    <w:rsid w:val="00FF3775"/>
    <w:rsid w:val="014142AC"/>
    <w:rsid w:val="01CE5D1C"/>
    <w:rsid w:val="025263E9"/>
    <w:rsid w:val="02DA63DE"/>
    <w:rsid w:val="031E276F"/>
    <w:rsid w:val="039E595D"/>
    <w:rsid w:val="03B5742C"/>
    <w:rsid w:val="05354850"/>
    <w:rsid w:val="059953FE"/>
    <w:rsid w:val="05FA1163"/>
    <w:rsid w:val="063A27D8"/>
    <w:rsid w:val="0664493D"/>
    <w:rsid w:val="06736DB3"/>
    <w:rsid w:val="06B70F10"/>
    <w:rsid w:val="070F07F6"/>
    <w:rsid w:val="07585D35"/>
    <w:rsid w:val="07972AF0"/>
    <w:rsid w:val="08083403"/>
    <w:rsid w:val="0917022E"/>
    <w:rsid w:val="09BE5E2A"/>
    <w:rsid w:val="0A091F73"/>
    <w:rsid w:val="0A8504E9"/>
    <w:rsid w:val="0B9E269F"/>
    <w:rsid w:val="0C0F46D7"/>
    <w:rsid w:val="0CBB102F"/>
    <w:rsid w:val="0D350DE1"/>
    <w:rsid w:val="0D92619C"/>
    <w:rsid w:val="0E4C5F96"/>
    <w:rsid w:val="0EB020D5"/>
    <w:rsid w:val="0F412CA9"/>
    <w:rsid w:val="0F7B6853"/>
    <w:rsid w:val="0FD566D2"/>
    <w:rsid w:val="0FE73EE9"/>
    <w:rsid w:val="110C00AB"/>
    <w:rsid w:val="129B31AF"/>
    <w:rsid w:val="13426B5D"/>
    <w:rsid w:val="13B2170D"/>
    <w:rsid w:val="13B97480"/>
    <w:rsid w:val="14034EB5"/>
    <w:rsid w:val="144351DA"/>
    <w:rsid w:val="14870494"/>
    <w:rsid w:val="15085E8C"/>
    <w:rsid w:val="15174F60"/>
    <w:rsid w:val="154277C3"/>
    <w:rsid w:val="1556095A"/>
    <w:rsid w:val="15AE34DE"/>
    <w:rsid w:val="167D7F24"/>
    <w:rsid w:val="169A7F07"/>
    <w:rsid w:val="169D2B9C"/>
    <w:rsid w:val="16B32D77"/>
    <w:rsid w:val="17306AB5"/>
    <w:rsid w:val="17373F64"/>
    <w:rsid w:val="1869193F"/>
    <w:rsid w:val="19056609"/>
    <w:rsid w:val="19A054D6"/>
    <w:rsid w:val="19AB02DA"/>
    <w:rsid w:val="1A833E19"/>
    <w:rsid w:val="1B0717C8"/>
    <w:rsid w:val="1B132036"/>
    <w:rsid w:val="1B794D79"/>
    <w:rsid w:val="1BE33681"/>
    <w:rsid w:val="1CA37410"/>
    <w:rsid w:val="1DFC0452"/>
    <w:rsid w:val="1E116AEB"/>
    <w:rsid w:val="1E982F7E"/>
    <w:rsid w:val="1EE15A6C"/>
    <w:rsid w:val="1F121CCD"/>
    <w:rsid w:val="1FAD4807"/>
    <w:rsid w:val="20653288"/>
    <w:rsid w:val="20713A86"/>
    <w:rsid w:val="20AA6F98"/>
    <w:rsid w:val="21862EC6"/>
    <w:rsid w:val="22561186"/>
    <w:rsid w:val="23490CEA"/>
    <w:rsid w:val="2355768F"/>
    <w:rsid w:val="237A2B2A"/>
    <w:rsid w:val="24DA01B7"/>
    <w:rsid w:val="25551BC9"/>
    <w:rsid w:val="272B0D62"/>
    <w:rsid w:val="282130ED"/>
    <w:rsid w:val="28A013AD"/>
    <w:rsid w:val="29993B74"/>
    <w:rsid w:val="29F2313B"/>
    <w:rsid w:val="2A745211"/>
    <w:rsid w:val="2B9D1BD3"/>
    <w:rsid w:val="2BAE6474"/>
    <w:rsid w:val="2C4F36F5"/>
    <w:rsid w:val="2C6830CC"/>
    <w:rsid w:val="2D5F22BD"/>
    <w:rsid w:val="2FBA0ACE"/>
    <w:rsid w:val="2FF37D11"/>
    <w:rsid w:val="3013049D"/>
    <w:rsid w:val="309D2676"/>
    <w:rsid w:val="313D6D5C"/>
    <w:rsid w:val="315A2315"/>
    <w:rsid w:val="332826CA"/>
    <w:rsid w:val="332C3D99"/>
    <w:rsid w:val="356E2833"/>
    <w:rsid w:val="361A4F3F"/>
    <w:rsid w:val="365875C5"/>
    <w:rsid w:val="37177E68"/>
    <w:rsid w:val="3868707E"/>
    <w:rsid w:val="38BE762D"/>
    <w:rsid w:val="39356049"/>
    <w:rsid w:val="39F41558"/>
    <w:rsid w:val="3A247C6F"/>
    <w:rsid w:val="3A465B2C"/>
    <w:rsid w:val="3ADB44C6"/>
    <w:rsid w:val="3B4E60E4"/>
    <w:rsid w:val="3BFE2074"/>
    <w:rsid w:val="3D6F0EF6"/>
    <w:rsid w:val="3D9F7A2D"/>
    <w:rsid w:val="3ED21DD7"/>
    <w:rsid w:val="3F204B9E"/>
    <w:rsid w:val="3F536D21"/>
    <w:rsid w:val="3F8C7277"/>
    <w:rsid w:val="3FA0222F"/>
    <w:rsid w:val="3FBE5C3D"/>
    <w:rsid w:val="404623E2"/>
    <w:rsid w:val="4065700E"/>
    <w:rsid w:val="40694322"/>
    <w:rsid w:val="40752CC7"/>
    <w:rsid w:val="40972C3D"/>
    <w:rsid w:val="412B2BA1"/>
    <w:rsid w:val="412C782A"/>
    <w:rsid w:val="41BC1DE0"/>
    <w:rsid w:val="42920343"/>
    <w:rsid w:val="42D769B6"/>
    <w:rsid w:val="444924A1"/>
    <w:rsid w:val="44F600D3"/>
    <w:rsid w:val="45234EE5"/>
    <w:rsid w:val="45617704"/>
    <w:rsid w:val="45F14B9E"/>
    <w:rsid w:val="4611602E"/>
    <w:rsid w:val="463351B6"/>
    <w:rsid w:val="471C3E9C"/>
    <w:rsid w:val="47946129"/>
    <w:rsid w:val="489F22D8"/>
    <w:rsid w:val="48B048DB"/>
    <w:rsid w:val="48E629B4"/>
    <w:rsid w:val="4ACE54AE"/>
    <w:rsid w:val="4B8C0594"/>
    <w:rsid w:val="4C0F7B1B"/>
    <w:rsid w:val="4CFE380A"/>
    <w:rsid w:val="4D862B8C"/>
    <w:rsid w:val="4DCE3A17"/>
    <w:rsid w:val="4DFF35F5"/>
    <w:rsid w:val="4EF47599"/>
    <w:rsid w:val="4FE3578A"/>
    <w:rsid w:val="4FF754A7"/>
    <w:rsid w:val="50CF01D2"/>
    <w:rsid w:val="537C6297"/>
    <w:rsid w:val="54506B98"/>
    <w:rsid w:val="546D3F89"/>
    <w:rsid w:val="54E94B5B"/>
    <w:rsid w:val="55661639"/>
    <w:rsid w:val="55761622"/>
    <w:rsid w:val="55F83D27"/>
    <w:rsid w:val="5643645D"/>
    <w:rsid w:val="56C65BD3"/>
    <w:rsid w:val="580D1F08"/>
    <w:rsid w:val="5866141B"/>
    <w:rsid w:val="5875165E"/>
    <w:rsid w:val="587A0A23"/>
    <w:rsid w:val="58BB0AAB"/>
    <w:rsid w:val="58BF0B2C"/>
    <w:rsid w:val="591A5BE0"/>
    <w:rsid w:val="59CE54CA"/>
    <w:rsid w:val="5A617405"/>
    <w:rsid w:val="5AA93841"/>
    <w:rsid w:val="5B266C40"/>
    <w:rsid w:val="5B2E1320"/>
    <w:rsid w:val="5B667984"/>
    <w:rsid w:val="5BD857FA"/>
    <w:rsid w:val="5C080481"/>
    <w:rsid w:val="5C3D06E5"/>
    <w:rsid w:val="5CDF431B"/>
    <w:rsid w:val="5D027239"/>
    <w:rsid w:val="5E202145"/>
    <w:rsid w:val="5EEE3F19"/>
    <w:rsid w:val="5F2B2690"/>
    <w:rsid w:val="5F621BCD"/>
    <w:rsid w:val="5F654F08"/>
    <w:rsid w:val="6031647B"/>
    <w:rsid w:val="606E458F"/>
    <w:rsid w:val="60AD326C"/>
    <w:rsid w:val="61377DF9"/>
    <w:rsid w:val="61963763"/>
    <w:rsid w:val="61D251BA"/>
    <w:rsid w:val="62061579"/>
    <w:rsid w:val="62CF5C7E"/>
    <w:rsid w:val="62F74A7A"/>
    <w:rsid w:val="668E2223"/>
    <w:rsid w:val="6734111D"/>
    <w:rsid w:val="683026D9"/>
    <w:rsid w:val="689A6DDC"/>
    <w:rsid w:val="693F388B"/>
    <w:rsid w:val="694A1AEF"/>
    <w:rsid w:val="69783C43"/>
    <w:rsid w:val="6BFD1C3F"/>
    <w:rsid w:val="6C61675C"/>
    <w:rsid w:val="6D8061F2"/>
    <w:rsid w:val="6DBA21A1"/>
    <w:rsid w:val="6DD8201C"/>
    <w:rsid w:val="6F3239AE"/>
    <w:rsid w:val="6F990573"/>
    <w:rsid w:val="6FB10D76"/>
    <w:rsid w:val="701663E5"/>
    <w:rsid w:val="70383246"/>
    <w:rsid w:val="70DA254F"/>
    <w:rsid w:val="717604C9"/>
    <w:rsid w:val="71D604FF"/>
    <w:rsid w:val="73731F46"/>
    <w:rsid w:val="744D4DE6"/>
    <w:rsid w:val="753C5586"/>
    <w:rsid w:val="76CE7AD1"/>
    <w:rsid w:val="77ED559D"/>
    <w:rsid w:val="77F75794"/>
    <w:rsid w:val="782513D5"/>
    <w:rsid w:val="786009B3"/>
    <w:rsid w:val="78AF3D07"/>
    <w:rsid w:val="79D25A7A"/>
    <w:rsid w:val="7AC04986"/>
    <w:rsid w:val="7ACB3368"/>
    <w:rsid w:val="7AD225DE"/>
    <w:rsid w:val="7AF5051C"/>
    <w:rsid w:val="7B767318"/>
    <w:rsid w:val="7BBA680A"/>
    <w:rsid w:val="7BE728EE"/>
    <w:rsid w:val="7BE826AE"/>
    <w:rsid w:val="7BFA1CF7"/>
    <w:rsid w:val="7CCF532E"/>
    <w:rsid w:val="7E00338F"/>
    <w:rsid w:val="7E413C0D"/>
    <w:rsid w:val="7EEF3669"/>
    <w:rsid w:val="7F7D6EC7"/>
    <w:rsid w:val="7FE522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qFormat="1" w:unhideWhenUsed="0" w:uiPriority="0" w:semiHidden="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35" w:semiHidden="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9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ind w:firstLine="880" w:firstLineChars="200"/>
      <w:jc w:val="both"/>
    </w:pPr>
    <w:rPr>
      <w:rFonts w:ascii="Times New Roman" w:hAnsi="Times New Roman" w:eastAsia="仿宋_GB2312" w:cs="Times New Roman"/>
      <w:kern w:val="2"/>
      <w:sz w:val="32"/>
      <w:szCs w:val="24"/>
      <w:lang w:val="en-US" w:eastAsia="zh-CN" w:bidi="ar-SA"/>
    </w:rPr>
  </w:style>
  <w:style w:type="character" w:default="1" w:styleId="12">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customStyle="1" w:styleId="2">
    <w:name w:val="BodyText2"/>
    <w:basedOn w:val="1"/>
    <w:qFormat/>
    <w:uiPriority w:val="0"/>
    <w:pPr>
      <w:spacing w:after="120" w:line="480" w:lineRule="auto"/>
      <w:textAlignment w:val="baseline"/>
    </w:pPr>
    <w:rPr>
      <w:sz w:val="32"/>
      <w:szCs w:val="32"/>
    </w:rPr>
  </w:style>
  <w:style w:type="paragraph" w:styleId="3">
    <w:name w:val="Normal Indent"/>
    <w:basedOn w:val="1"/>
    <w:next w:val="4"/>
    <w:qFormat/>
    <w:uiPriority w:val="0"/>
    <w:pPr>
      <w:wordWrap w:val="0"/>
      <w:autoSpaceDE w:val="0"/>
      <w:adjustRightInd w:val="0"/>
      <w:spacing w:line="400" w:lineRule="atLeast"/>
      <w:ind w:firstLine="567"/>
      <w:textAlignment w:val="baseline"/>
    </w:pPr>
    <w:rPr>
      <w:rFonts w:ascii="宋体"/>
      <w:kern w:val="0"/>
    </w:rPr>
  </w:style>
  <w:style w:type="paragraph" w:customStyle="1" w:styleId="4">
    <w:name w:val="正文首行缩进2个字 Char"/>
    <w:basedOn w:val="1"/>
    <w:qFormat/>
    <w:uiPriority w:val="0"/>
    <w:pPr>
      <w:ind w:firstLine="480"/>
    </w:pPr>
    <w:rPr>
      <w:rFonts w:eastAsia="楷体"/>
      <w:sz w:val="24"/>
    </w:rPr>
  </w:style>
  <w:style w:type="paragraph" w:styleId="5">
    <w:name w:val="caption"/>
    <w:basedOn w:val="1"/>
    <w:next w:val="1"/>
    <w:unhideWhenUsed/>
    <w:qFormat/>
    <w:uiPriority w:val="35"/>
    <w:pPr>
      <w:ind w:firstLine="0" w:firstLineChars="0"/>
      <w:jc w:val="center"/>
    </w:pPr>
    <w:rPr>
      <w:sz w:val="21"/>
      <w:szCs w:val="21"/>
    </w:rPr>
  </w:style>
  <w:style w:type="paragraph" w:styleId="6">
    <w:name w:val="Balloon Text"/>
    <w:basedOn w:val="1"/>
    <w:link w:val="40"/>
    <w:semiHidden/>
    <w:unhideWhenUsed/>
    <w:qFormat/>
    <w:uiPriority w:val="0"/>
    <w:rPr>
      <w:sz w:val="18"/>
      <w:szCs w:val="18"/>
    </w:rPr>
  </w:style>
  <w:style w:type="paragraph" w:styleId="7">
    <w:name w:val="footer"/>
    <w:basedOn w:val="1"/>
    <w:link w:val="32"/>
    <w:qFormat/>
    <w:uiPriority w:val="99"/>
    <w:pPr>
      <w:tabs>
        <w:tab w:val="center" w:pos="4153"/>
        <w:tab w:val="right" w:pos="8306"/>
      </w:tabs>
      <w:snapToGrid w:val="0"/>
      <w:jc w:val="left"/>
    </w:pPr>
    <w:rPr>
      <w:sz w:val="18"/>
      <w:szCs w:val="18"/>
    </w:rPr>
  </w:style>
  <w:style w:type="paragraph" w:styleId="8">
    <w:name w:val="header"/>
    <w:basedOn w:val="1"/>
    <w:link w:val="31"/>
    <w:qFormat/>
    <w:uiPriority w:val="0"/>
    <w:pPr>
      <w:pBdr>
        <w:bottom w:val="single" w:color="auto" w:sz="6" w:space="1"/>
      </w:pBdr>
      <w:tabs>
        <w:tab w:val="center" w:pos="4153"/>
        <w:tab w:val="right" w:pos="8306"/>
      </w:tabs>
      <w:snapToGrid w:val="0"/>
      <w:jc w:val="center"/>
    </w:pPr>
    <w:rPr>
      <w:sz w:val="18"/>
      <w:szCs w:val="18"/>
    </w:rPr>
  </w:style>
  <w:style w:type="paragraph" w:styleId="9">
    <w:name w:val="Normal (Web)"/>
    <w:basedOn w:val="1"/>
    <w:qFormat/>
    <w:uiPriority w:val="99"/>
    <w:pPr>
      <w:spacing w:before="100" w:beforeAutospacing="1" w:after="100" w:afterAutospacing="1"/>
      <w:jc w:val="left"/>
    </w:pPr>
    <w:rPr>
      <w:kern w:val="0"/>
      <w:sz w:val="24"/>
    </w:rPr>
  </w:style>
  <w:style w:type="table" w:styleId="11">
    <w:name w:val="Table Grid"/>
    <w:basedOn w:val="10"/>
    <w:qFormat/>
    <w:uiPriority w:val="9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13">
    <w:name w:val="Strong"/>
    <w:basedOn w:val="12"/>
    <w:qFormat/>
    <w:uiPriority w:val="0"/>
    <w:rPr>
      <w:b/>
    </w:rPr>
  </w:style>
  <w:style w:type="character" w:styleId="14">
    <w:name w:val="Hyperlink"/>
    <w:basedOn w:val="12"/>
    <w:unhideWhenUsed/>
    <w:qFormat/>
    <w:uiPriority w:val="99"/>
    <w:rPr>
      <w:color w:val="0000FF"/>
      <w:u w:val="single"/>
    </w:rPr>
  </w:style>
  <w:style w:type="paragraph" w:customStyle="1" w:styleId="15">
    <w:name w:val="段"/>
    <w:link w:val="30"/>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6">
    <w:name w:val="正文表标题"/>
    <w:next w:val="15"/>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17">
    <w:name w:val="正文图标题"/>
    <w:next w:val="15"/>
    <w:qFormat/>
    <w:uiPriority w:val="0"/>
    <w:pPr>
      <w:numPr>
        <w:ilvl w:val="0"/>
        <w:numId w:val="1"/>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8">
    <w:name w:val="其他发布日期"/>
    <w:basedOn w:val="1"/>
    <w:qFormat/>
    <w:uiPriority w:val="0"/>
    <w:pPr>
      <w:framePr w:w="3997" w:h="471" w:hRule="exact" w:vSpace="181" w:wrap="around" w:vAnchor="page" w:hAnchor="page" w:x="1419" w:y="14097" w:anchorLock="1"/>
      <w:widowControl/>
      <w:numPr>
        <w:ilvl w:val="0"/>
        <w:numId w:val="2"/>
      </w:numPr>
      <w:jc w:val="left"/>
    </w:pPr>
    <w:rPr>
      <w:rFonts w:eastAsia="黑体"/>
      <w:kern w:val="0"/>
      <w:sz w:val="28"/>
      <w:szCs w:val="20"/>
    </w:rPr>
  </w:style>
  <w:style w:type="paragraph" w:customStyle="1" w:styleId="19">
    <w:name w:val="一级条标题"/>
    <w:next w:val="15"/>
    <w:qFormat/>
    <w:uiPriority w:val="0"/>
    <w:pPr>
      <w:numPr>
        <w:ilvl w:val="1"/>
        <w:numId w:val="3"/>
      </w:numPr>
      <w:spacing w:beforeLines="50" w:afterLines="50"/>
      <w:outlineLvl w:val="2"/>
    </w:pPr>
    <w:rPr>
      <w:rFonts w:ascii="黑体" w:hAnsi="Times New Roman" w:eastAsia="黑体" w:cs="Times New Roman"/>
      <w:sz w:val="21"/>
      <w:szCs w:val="21"/>
      <w:lang w:val="en-US" w:eastAsia="zh-CN" w:bidi="ar-SA"/>
    </w:rPr>
  </w:style>
  <w:style w:type="paragraph" w:customStyle="1" w:styleId="20">
    <w:name w:val="章标题"/>
    <w:next w:val="15"/>
    <w:qFormat/>
    <w:uiPriority w:val="0"/>
    <w:pPr>
      <w:numPr>
        <w:ilvl w:val="0"/>
        <w:numId w:val="3"/>
      </w:numPr>
      <w:spacing w:beforeLines="100" w:afterLines="100"/>
      <w:jc w:val="both"/>
      <w:outlineLvl w:val="1"/>
    </w:pPr>
    <w:rPr>
      <w:rFonts w:ascii="黑体" w:hAnsi="Times New Roman" w:eastAsia="黑体" w:cs="Times New Roman"/>
      <w:sz w:val="21"/>
      <w:lang w:val="en-US" w:eastAsia="zh-CN" w:bidi="ar-SA"/>
    </w:rPr>
  </w:style>
  <w:style w:type="paragraph" w:customStyle="1" w:styleId="21">
    <w:name w:val="二级条标题"/>
    <w:basedOn w:val="19"/>
    <w:next w:val="15"/>
    <w:qFormat/>
    <w:uiPriority w:val="0"/>
    <w:pPr>
      <w:numPr>
        <w:ilvl w:val="2"/>
      </w:numPr>
      <w:spacing w:before="50" w:after="50"/>
      <w:outlineLvl w:val="3"/>
    </w:pPr>
  </w:style>
  <w:style w:type="paragraph" w:customStyle="1" w:styleId="22">
    <w:name w:val="三级条标题"/>
    <w:basedOn w:val="21"/>
    <w:next w:val="15"/>
    <w:qFormat/>
    <w:uiPriority w:val="0"/>
    <w:pPr>
      <w:numPr>
        <w:ilvl w:val="3"/>
      </w:numPr>
      <w:outlineLvl w:val="4"/>
    </w:pPr>
  </w:style>
  <w:style w:type="paragraph" w:customStyle="1" w:styleId="23">
    <w:name w:val="四级条标题"/>
    <w:basedOn w:val="22"/>
    <w:next w:val="15"/>
    <w:qFormat/>
    <w:uiPriority w:val="0"/>
    <w:pPr>
      <w:numPr>
        <w:ilvl w:val="4"/>
      </w:numPr>
      <w:outlineLvl w:val="5"/>
    </w:pPr>
  </w:style>
  <w:style w:type="paragraph" w:customStyle="1" w:styleId="24">
    <w:name w:val="五级条标题"/>
    <w:basedOn w:val="23"/>
    <w:next w:val="15"/>
    <w:qFormat/>
    <w:uiPriority w:val="0"/>
    <w:pPr>
      <w:numPr>
        <w:ilvl w:val="5"/>
      </w:numPr>
      <w:outlineLvl w:val="6"/>
    </w:pPr>
  </w:style>
  <w:style w:type="paragraph" w:customStyle="1" w:styleId="25">
    <w:name w:val="注："/>
    <w:next w:val="15"/>
    <w:qFormat/>
    <w:uiPriority w:val="0"/>
    <w:pPr>
      <w:widowControl w:val="0"/>
      <w:numPr>
        <w:ilvl w:val="0"/>
        <w:numId w:val="4"/>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26">
    <w:name w:val="附录图标号"/>
    <w:basedOn w:val="1"/>
    <w:qFormat/>
    <w:uiPriority w:val="0"/>
    <w:pPr>
      <w:keepNext/>
      <w:pageBreakBefore/>
      <w:widowControl/>
      <w:numPr>
        <w:ilvl w:val="0"/>
        <w:numId w:val="5"/>
      </w:numPr>
      <w:spacing w:line="14" w:lineRule="exact"/>
      <w:ind w:left="0" w:firstLine="363"/>
      <w:jc w:val="center"/>
      <w:outlineLvl w:val="0"/>
    </w:pPr>
    <w:rPr>
      <w:color w:val="FFFFFF"/>
    </w:rPr>
  </w:style>
  <w:style w:type="paragraph" w:customStyle="1" w:styleId="27">
    <w:name w:val="附录图标题"/>
    <w:basedOn w:val="1"/>
    <w:next w:val="15"/>
    <w:qFormat/>
    <w:uiPriority w:val="0"/>
    <w:pPr>
      <w:numPr>
        <w:ilvl w:val="1"/>
        <w:numId w:val="5"/>
      </w:numPr>
      <w:tabs>
        <w:tab w:val="left" w:pos="363"/>
      </w:tabs>
      <w:spacing w:beforeLines="50" w:afterLines="50"/>
      <w:ind w:left="0" w:firstLine="0"/>
      <w:jc w:val="center"/>
    </w:pPr>
    <w:rPr>
      <w:rFonts w:ascii="黑体" w:eastAsia="黑体"/>
      <w:szCs w:val="21"/>
    </w:rPr>
  </w:style>
  <w:style w:type="paragraph" w:customStyle="1" w:styleId="28">
    <w:name w:val="注×：（正文）"/>
    <w:qFormat/>
    <w:uiPriority w:val="0"/>
    <w:pPr>
      <w:numPr>
        <w:ilvl w:val="0"/>
        <w:numId w:val="6"/>
      </w:numPr>
      <w:jc w:val="both"/>
    </w:pPr>
    <w:rPr>
      <w:rFonts w:ascii="宋体" w:hAnsi="Times New Roman" w:eastAsia="宋体" w:cs="Times New Roman"/>
      <w:sz w:val="18"/>
      <w:szCs w:val="18"/>
      <w:lang w:val="en-US" w:eastAsia="zh-CN" w:bidi="ar-SA"/>
    </w:rPr>
  </w:style>
  <w:style w:type="paragraph" w:customStyle="1" w:styleId="29">
    <w:name w:val="图表脚注说明"/>
    <w:basedOn w:val="1"/>
    <w:qFormat/>
    <w:uiPriority w:val="0"/>
    <w:pPr>
      <w:numPr>
        <w:ilvl w:val="0"/>
        <w:numId w:val="7"/>
      </w:numPr>
    </w:pPr>
    <w:rPr>
      <w:rFonts w:ascii="宋体"/>
      <w:sz w:val="18"/>
      <w:szCs w:val="18"/>
    </w:rPr>
  </w:style>
  <w:style w:type="character" w:customStyle="1" w:styleId="30">
    <w:name w:val="段 Char"/>
    <w:basedOn w:val="12"/>
    <w:link w:val="15"/>
    <w:qFormat/>
    <w:uiPriority w:val="0"/>
    <w:rPr>
      <w:rFonts w:ascii="宋体"/>
      <w:sz w:val="21"/>
      <w:lang w:val="en-US" w:eastAsia="zh-CN" w:bidi="ar-SA"/>
    </w:rPr>
  </w:style>
  <w:style w:type="character" w:customStyle="1" w:styleId="31">
    <w:name w:val="页眉 Char"/>
    <w:basedOn w:val="12"/>
    <w:link w:val="8"/>
    <w:qFormat/>
    <w:uiPriority w:val="0"/>
    <w:rPr>
      <w:kern w:val="2"/>
      <w:sz w:val="18"/>
      <w:szCs w:val="18"/>
    </w:rPr>
  </w:style>
  <w:style w:type="character" w:customStyle="1" w:styleId="32">
    <w:name w:val="页脚 Char"/>
    <w:basedOn w:val="12"/>
    <w:link w:val="7"/>
    <w:qFormat/>
    <w:uiPriority w:val="99"/>
    <w:rPr>
      <w:kern w:val="2"/>
      <w:sz w:val="18"/>
      <w:szCs w:val="18"/>
    </w:rPr>
  </w:style>
  <w:style w:type="paragraph" w:customStyle="1" w:styleId="33">
    <w:name w:val="附录表标题"/>
    <w:basedOn w:val="1"/>
    <w:next w:val="15"/>
    <w:qFormat/>
    <w:uiPriority w:val="0"/>
    <w:pPr>
      <w:numPr>
        <w:ilvl w:val="1"/>
        <w:numId w:val="8"/>
      </w:numPr>
      <w:tabs>
        <w:tab w:val="left" w:pos="180"/>
      </w:tabs>
      <w:spacing w:beforeLines="50" w:afterLines="50"/>
      <w:ind w:left="0" w:firstLine="0"/>
      <w:jc w:val="center"/>
    </w:pPr>
    <w:rPr>
      <w:rFonts w:ascii="黑体" w:eastAsia="黑体"/>
      <w:szCs w:val="21"/>
    </w:rPr>
  </w:style>
  <w:style w:type="paragraph" w:styleId="34">
    <w:name w:val="List Paragraph"/>
    <w:basedOn w:val="1"/>
    <w:unhideWhenUsed/>
    <w:qFormat/>
    <w:uiPriority w:val="34"/>
    <w:pPr>
      <w:ind w:firstLine="420"/>
    </w:pPr>
  </w:style>
  <w:style w:type="paragraph" w:customStyle="1" w:styleId="35">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36">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character" w:customStyle="1" w:styleId="37">
    <w:name w:val="发布"/>
    <w:qFormat/>
    <w:uiPriority w:val="0"/>
    <w:rPr>
      <w:rFonts w:ascii="黑体" w:eastAsia="黑体"/>
      <w:spacing w:val="22"/>
      <w:w w:val="100"/>
      <w:position w:val="3"/>
      <w:sz w:val="28"/>
    </w:rPr>
  </w:style>
  <w:style w:type="paragraph" w:customStyle="1" w:styleId="38">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39">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40">
    <w:name w:val="批注框文本 Char"/>
    <w:basedOn w:val="12"/>
    <w:link w:val="6"/>
    <w:semiHidden/>
    <w:qFormat/>
    <w:uiPriority w:val="0"/>
    <w:rPr>
      <w:rFonts w:ascii="Times New Roman" w:hAnsi="Times New Roman"/>
      <w:kern w:val="2"/>
      <w:sz w:val="18"/>
      <w:szCs w:val="18"/>
    </w:rPr>
  </w:style>
  <w:style w:type="paragraph" w:customStyle="1" w:styleId="41">
    <w:name w:val="Default"/>
    <w:qFormat/>
    <w:uiPriority w:val="0"/>
    <w:pPr>
      <w:widowControl w:val="0"/>
      <w:autoSpaceDE w:val="0"/>
      <w:autoSpaceDN w:val="0"/>
      <w:adjustRightInd w:val="0"/>
    </w:pPr>
    <w:rPr>
      <w:rFonts w:ascii="新宋体.挀.挀." w:hAnsi="新宋体.挀.挀." w:eastAsia="新宋体.挀.挀." w:cs="Times New Roman"/>
      <w:color w:val="000000"/>
      <w:sz w:val="24"/>
      <w:szCs w:val="22"/>
      <w:lang w:val="en-US" w:eastAsia="zh-CN" w:bidi="ar-SA"/>
    </w:rPr>
  </w:style>
  <w:style w:type="character" w:customStyle="1" w:styleId="42">
    <w:name w:val="font21"/>
    <w:basedOn w:val="12"/>
    <w:qFormat/>
    <w:uiPriority w:val="0"/>
    <w:rPr>
      <w:rFonts w:hint="default" w:ascii="Times New Roman" w:hAnsi="Times New Roman" w:cs="Times New Roman"/>
      <w:color w:val="000000"/>
      <w:sz w:val="18"/>
      <w:szCs w:val="18"/>
      <w:u w:val="none"/>
    </w:rPr>
  </w:style>
  <w:style w:type="character" w:customStyle="1" w:styleId="43">
    <w:name w:val="font11"/>
    <w:basedOn w:val="12"/>
    <w:qFormat/>
    <w:uiPriority w:val="0"/>
    <w:rPr>
      <w:rFonts w:hint="eastAsia" w:ascii="宋体" w:hAnsi="宋体" w:eastAsia="宋体" w:cs="宋体"/>
      <w:color w:val="000000"/>
      <w:sz w:val="18"/>
      <w:szCs w:val="18"/>
      <w:u w:val="none"/>
    </w:rPr>
  </w:style>
  <w:style w:type="paragraph" w:customStyle="1" w:styleId="44">
    <w:name w:val="封面标准文稿编辑信息"/>
    <w:basedOn w:val="1"/>
    <w:qFormat/>
    <w:uiPriority w:val="0"/>
    <w:pPr>
      <w:widowControl/>
      <w:spacing w:before="180" w:after="100" w:afterAutospacing="1" w:line="180" w:lineRule="exact"/>
      <w:ind w:firstLine="0" w:firstLineChars="0"/>
      <w:jc w:val="center"/>
    </w:pPr>
    <w:rPr>
      <w:rFonts w:ascii="宋体" w:hAnsi="宋体" w:eastAsia="宋体" w:cs="宋体"/>
      <w:kern w:val="0"/>
      <w:sz w:val="21"/>
      <w:szCs w:val="21"/>
    </w:rPr>
  </w:style>
  <w:style w:type="paragraph" w:customStyle="1" w:styleId="45">
    <w:name w:val="标准文件_术语条一"/>
    <w:basedOn w:val="46"/>
    <w:next w:val="39"/>
    <w:qFormat/>
    <w:uiPriority w:val="0"/>
  </w:style>
  <w:style w:type="paragraph" w:customStyle="1" w:styleId="46">
    <w:name w:val="标准文件_一级无标题"/>
    <w:basedOn w:val="47"/>
    <w:qFormat/>
    <w:uiPriority w:val="0"/>
    <w:pPr>
      <w:spacing w:beforeLines="0" w:afterLines="0"/>
      <w:outlineLvl w:val="9"/>
    </w:pPr>
    <w:rPr>
      <w:rFonts w:ascii="宋体" w:eastAsia="宋体"/>
    </w:rPr>
  </w:style>
  <w:style w:type="paragraph" w:customStyle="1" w:styleId="47">
    <w:name w:val="标准文件_一级条标题"/>
    <w:basedOn w:val="48"/>
    <w:next w:val="39"/>
    <w:qFormat/>
    <w:uiPriority w:val="0"/>
    <w:pPr>
      <w:numPr>
        <w:ilvl w:val="2"/>
      </w:numPr>
      <w:spacing w:beforeLines="50" w:afterLines="50"/>
      <w:outlineLvl w:val="1"/>
    </w:pPr>
  </w:style>
  <w:style w:type="paragraph" w:customStyle="1" w:styleId="48">
    <w:name w:val="标准文件_章标题"/>
    <w:next w:val="39"/>
    <w:qFormat/>
    <w:uiPriority w:val="0"/>
    <w:pPr>
      <w:numPr>
        <w:ilvl w:val="1"/>
        <w:numId w:val="9"/>
      </w:numPr>
      <w:spacing w:beforeLines="100" w:afterLines="100"/>
      <w:ind w:left="0"/>
      <w:jc w:val="both"/>
      <w:outlineLvl w:val="0"/>
    </w:pPr>
    <w:rPr>
      <w:rFonts w:ascii="黑体" w:hAnsi="Times New Roman" w:eastAsia="黑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jpeg"/><Relationship Id="rId15" Type="http://schemas.openxmlformats.org/officeDocument/2006/relationships/image" Target="media/image4.jpeg"/><Relationship Id="rId14" Type="http://schemas.openxmlformats.org/officeDocument/2006/relationships/image" Target="media/image3.jpe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WWW.YlmF.CoM</Company>
  <Pages>28</Pages>
  <Words>6031</Words>
  <Characters>6267</Characters>
  <Lines>108</Lines>
  <Paragraphs>30</Paragraphs>
  <TotalTime>0</TotalTime>
  <ScaleCrop>false</ScaleCrop>
  <LinksUpToDate>false</LinksUpToDate>
  <CharactersWithSpaces>6309</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2023-08-14T06:51:00Z</dcterms:created>
  <dc:creator>USER</dc:creator>
  <cp:lastModifiedBy>Better</cp:lastModifiedBy>
  <cp:lastPrinted>2019-07-10T11:21:00Z</cp:lastPrinted>
  <dcterms:modified xsi:type="dcterms:W3CDTF">2026-08-31T08:28:28Z</dcterms:modified>
  <dc:title>广西地方标准《脱氢枞酸》（征求意见稿）</dc:title>
  <cp:revision>93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484DF7F1BEB842158BCD0584349217B5</vt:lpwstr>
  </property>
  <property fmtid="{D5CDD505-2E9C-101B-9397-08002B2CF9AE}" pid="4" name="KSOTemplateDocerSaveRecord">
    <vt:lpwstr>eyJoZGlkIjoiNjkyMTI5YmM0YzdhN2UwZWQ0YzkxMTQ1ZWZjNWYyZDYiLCJ1c2VySWQiOiIzMTg4MTI4NjAifQ==</vt:lpwstr>
  </property>
</Properties>
</file>